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9EA8" w14:textId="5863E2B7" w:rsidR="00C76F64" w:rsidRPr="0071293B" w:rsidRDefault="000724C5" w:rsidP="00C76F64">
      <w:pPr>
        <w:spacing w:after="0" w:line="240" w:lineRule="auto"/>
        <w:jc w:val="center"/>
        <w:rPr>
          <w:rFonts w:ascii="Arial" w:eastAsia="Calibri" w:hAnsi="Arial" w:cs="Arial"/>
          <w:b/>
          <w:sz w:val="32"/>
          <w:szCs w:val="32"/>
        </w:rPr>
      </w:pPr>
      <w:bookmarkStart w:id="0" w:name="_Hlk103082340"/>
      <w:r>
        <w:rPr>
          <w:rFonts w:ascii="Arial" w:eastAsia="Calibri" w:hAnsi="Arial" w:cs="Arial"/>
          <w:b/>
          <w:sz w:val="32"/>
          <w:szCs w:val="32"/>
        </w:rPr>
        <w:t xml:space="preserve">  </w:t>
      </w:r>
      <w:r w:rsidR="00CC3D1A">
        <w:rPr>
          <w:rFonts w:ascii="Arial" w:eastAsia="Calibri" w:hAnsi="Arial" w:cs="Arial"/>
          <w:b/>
          <w:noProof/>
          <w:sz w:val="32"/>
          <w:szCs w:val="32"/>
        </w:rPr>
        <w:drawing>
          <wp:inline distT="0" distB="0" distL="0" distR="0" wp14:anchorId="029285D3" wp14:editId="4EB304B5">
            <wp:extent cx="2877820" cy="1146175"/>
            <wp:effectExtent l="0" t="0" r="0" b="0"/>
            <wp:docPr id="17498672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9965" cy="1147029"/>
                    </a:xfrm>
                    <a:prstGeom prst="rect">
                      <a:avLst/>
                    </a:prstGeom>
                    <a:noFill/>
                  </pic:spPr>
                </pic:pic>
              </a:graphicData>
            </a:graphic>
          </wp:inline>
        </w:drawing>
      </w:r>
    </w:p>
    <w:p w14:paraId="7B70B1BF" w14:textId="77777777" w:rsidR="00CC3D1A" w:rsidRDefault="00CC3D1A" w:rsidP="00C76F64">
      <w:pPr>
        <w:spacing w:after="0" w:line="240" w:lineRule="auto"/>
        <w:jc w:val="center"/>
        <w:rPr>
          <w:rFonts w:ascii="Arial" w:eastAsia="Calibri" w:hAnsi="Arial" w:cs="Arial"/>
          <w:b/>
          <w:sz w:val="32"/>
          <w:szCs w:val="32"/>
        </w:rPr>
      </w:pPr>
    </w:p>
    <w:p w14:paraId="5CBF7B68" w14:textId="26E99CB1" w:rsidR="00C76F64" w:rsidRPr="0071293B" w:rsidRDefault="00FF12B5" w:rsidP="00C76F64">
      <w:pPr>
        <w:spacing w:after="0" w:line="240" w:lineRule="auto"/>
        <w:jc w:val="center"/>
        <w:rPr>
          <w:rFonts w:ascii="Arial" w:eastAsia="Calibri" w:hAnsi="Arial" w:cs="Arial"/>
          <w:b/>
          <w:sz w:val="32"/>
          <w:szCs w:val="32"/>
        </w:rPr>
      </w:pPr>
      <w:r w:rsidRPr="0071293B">
        <w:rPr>
          <w:rFonts w:ascii="Arial" w:eastAsia="Calibri" w:hAnsi="Arial" w:cs="Arial"/>
          <w:b/>
          <w:sz w:val="32"/>
          <w:szCs w:val="32"/>
        </w:rPr>
        <w:t>202</w:t>
      </w:r>
      <w:r w:rsidR="00CF566E">
        <w:rPr>
          <w:rFonts w:ascii="Arial" w:eastAsia="Calibri" w:hAnsi="Arial" w:cs="Arial"/>
          <w:b/>
          <w:sz w:val="32"/>
          <w:szCs w:val="32"/>
        </w:rPr>
        <w:t>5</w:t>
      </w:r>
      <w:r w:rsidRPr="0071293B">
        <w:rPr>
          <w:rFonts w:ascii="Arial" w:eastAsia="Calibri" w:hAnsi="Arial" w:cs="Arial"/>
          <w:b/>
          <w:sz w:val="32"/>
          <w:szCs w:val="32"/>
        </w:rPr>
        <w:t xml:space="preserve"> </w:t>
      </w:r>
      <w:r w:rsidR="00C76F64" w:rsidRPr="0071293B">
        <w:rPr>
          <w:rFonts w:ascii="Arial" w:eastAsia="Calibri" w:hAnsi="Arial" w:cs="Arial"/>
          <w:b/>
          <w:sz w:val="32"/>
          <w:szCs w:val="32"/>
        </w:rPr>
        <w:t>Conference Schedule</w:t>
      </w:r>
    </w:p>
    <w:p w14:paraId="38EE1F98" w14:textId="77777777" w:rsidR="00C76F64" w:rsidRPr="00C76F64" w:rsidRDefault="00C76F64" w:rsidP="00C76F64">
      <w:pPr>
        <w:spacing w:after="0" w:line="240" w:lineRule="auto"/>
        <w:rPr>
          <w:rFonts w:ascii="Arial" w:eastAsia="Calibri" w:hAnsi="Arial" w:cs="Arial"/>
        </w:rPr>
      </w:pPr>
    </w:p>
    <w:p w14:paraId="223EE9C1" w14:textId="77777777" w:rsidR="00C76F64" w:rsidRPr="00C76F64" w:rsidRDefault="00C76F64" w:rsidP="00C76F64">
      <w:pPr>
        <w:spacing w:after="0" w:line="240" w:lineRule="auto"/>
        <w:rPr>
          <w:rFonts w:ascii="Arial" w:eastAsia="Calibri" w:hAnsi="Arial" w:cs="Arial"/>
        </w:rPr>
      </w:pPr>
    </w:p>
    <w:p w14:paraId="629A5B4A" w14:textId="11BE54F4" w:rsidR="00C76F64" w:rsidRPr="0071293B" w:rsidRDefault="00C76F64" w:rsidP="00C76F64">
      <w:pPr>
        <w:spacing w:after="0" w:line="240" w:lineRule="auto"/>
        <w:rPr>
          <w:rFonts w:ascii="Arial" w:eastAsia="Calibri" w:hAnsi="Arial" w:cs="Arial"/>
          <w:b/>
          <w:bCs/>
          <w:sz w:val="24"/>
          <w:szCs w:val="24"/>
          <w:u w:val="single"/>
        </w:rPr>
      </w:pPr>
      <w:bookmarkStart w:id="1" w:name="_Hlk179442472"/>
      <w:r w:rsidRPr="0071293B">
        <w:rPr>
          <w:rFonts w:ascii="Arial" w:eastAsia="Calibri" w:hAnsi="Arial" w:cs="Arial"/>
          <w:b/>
          <w:bCs/>
          <w:sz w:val="24"/>
          <w:szCs w:val="24"/>
          <w:u w:val="single"/>
        </w:rPr>
        <w:t xml:space="preserve">Thursday, October </w:t>
      </w:r>
      <w:r w:rsidR="00A86850" w:rsidRPr="0071293B">
        <w:rPr>
          <w:rFonts w:ascii="Arial" w:eastAsia="Calibri" w:hAnsi="Arial" w:cs="Arial"/>
          <w:b/>
          <w:bCs/>
          <w:sz w:val="24"/>
          <w:szCs w:val="24"/>
          <w:u w:val="single"/>
        </w:rPr>
        <w:t>2</w:t>
      </w:r>
      <w:r w:rsidR="004618BF">
        <w:rPr>
          <w:rFonts w:ascii="Arial" w:eastAsia="Calibri" w:hAnsi="Arial" w:cs="Arial"/>
          <w:b/>
          <w:bCs/>
          <w:sz w:val="24"/>
          <w:szCs w:val="24"/>
          <w:u w:val="single"/>
        </w:rPr>
        <w:t>3</w:t>
      </w:r>
      <w:r w:rsidRPr="0071293B">
        <w:rPr>
          <w:rFonts w:ascii="Arial" w:eastAsia="Calibri" w:hAnsi="Arial" w:cs="Arial"/>
          <w:b/>
          <w:bCs/>
          <w:sz w:val="24"/>
          <w:szCs w:val="24"/>
          <w:u w:val="single"/>
        </w:rPr>
        <w:t>, 202</w:t>
      </w:r>
      <w:r w:rsidR="004618BF">
        <w:rPr>
          <w:rFonts w:ascii="Arial" w:eastAsia="Calibri" w:hAnsi="Arial" w:cs="Arial"/>
          <w:b/>
          <w:bCs/>
          <w:sz w:val="24"/>
          <w:szCs w:val="24"/>
          <w:u w:val="single"/>
        </w:rPr>
        <w:t>5</w:t>
      </w:r>
      <w:r w:rsidR="005250A5" w:rsidRPr="0071293B">
        <w:rPr>
          <w:rFonts w:ascii="Arial" w:eastAsia="Calibri" w:hAnsi="Arial" w:cs="Arial"/>
          <w:b/>
          <w:bCs/>
          <w:sz w:val="24"/>
          <w:szCs w:val="24"/>
          <w:u w:val="single"/>
        </w:rPr>
        <w:t xml:space="preserve"> – </w:t>
      </w:r>
      <w:r w:rsidR="004618BF">
        <w:rPr>
          <w:rFonts w:ascii="Arial" w:eastAsia="Calibri" w:hAnsi="Arial" w:cs="Arial"/>
          <w:b/>
          <w:bCs/>
          <w:sz w:val="24"/>
          <w:szCs w:val="24"/>
          <w:u w:val="single"/>
        </w:rPr>
        <w:t xml:space="preserve">College of Business </w:t>
      </w:r>
      <w:r w:rsidR="005250A5" w:rsidRPr="0071293B">
        <w:rPr>
          <w:rFonts w:ascii="Arial" w:eastAsia="Calibri" w:hAnsi="Arial" w:cs="Arial"/>
          <w:b/>
          <w:bCs/>
          <w:sz w:val="24"/>
          <w:szCs w:val="24"/>
          <w:u w:val="single"/>
        </w:rPr>
        <w:t>Room</w:t>
      </w:r>
      <w:r w:rsidR="0078243F">
        <w:rPr>
          <w:rFonts w:ascii="Arial" w:eastAsia="Calibri" w:hAnsi="Arial" w:cs="Arial"/>
          <w:b/>
          <w:bCs/>
          <w:sz w:val="24"/>
          <w:szCs w:val="24"/>
          <w:u w:val="single"/>
        </w:rPr>
        <w:t xml:space="preserve"> </w:t>
      </w:r>
      <w:r w:rsidR="004618BF">
        <w:rPr>
          <w:rFonts w:ascii="Arial" w:eastAsia="Calibri" w:hAnsi="Arial" w:cs="Arial"/>
          <w:b/>
          <w:bCs/>
          <w:sz w:val="24"/>
          <w:szCs w:val="24"/>
          <w:u w:val="single"/>
        </w:rPr>
        <w:t>139</w:t>
      </w:r>
      <w:r w:rsidR="00704CF3">
        <w:rPr>
          <w:rFonts w:ascii="Arial" w:eastAsia="Calibri" w:hAnsi="Arial" w:cs="Arial"/>
          <w:b/>
          <w:bCs/>
          <w:sz w:val="24"/>
          <w:szCs w:val="24"/>
          <w:u w:val="single"/>
        </w:rPr>
        <w:t>, 259 S. Broadway Ave. Akron, OH 44325</w:t>
      </w:r>
    </w:p>
    <w:p w14:paraId="56AD1F57" w14:textId="77777777" w:rsidR="00C76F64" w:rsidRPr="0071293B" w:rsidRDefault="00C76F64" w:rsidP="00C76F64">
      <w:pPr>
        <w:spacing w:after="0" w:line="240" w:lineRule="auto"/>
        <w:rPr>
          <w:rFonts w:ascii="Arial" w:eastAsia="Calibri" w:hAnsi="Arial" w:cs="Arial"/>
          <w:sz w:val="24"/>
          <w:szCs w:val="24"/>
        </w:rPr>
      </w:pPr>
    </w:p>
    <w:p w14:paraId="594585EA" w14:textId="5B0573A3" w:rsidR="004D5775" w:rsidRDefault="004D5775" w:rsidP="00C76F64">
      <w:pPr>
        <w:spacing w:after="0" w:line="240" w:lineRule="auto"/>
        <w:rPr>
          <w:rFonts w:ascii="Arial" w:eastAsia="Calibri" w:hAnsi="Arial" w:cs="Arial"/>
          <w:b/>
          <w:bCs/>
          <w:iCs/>
          <w:sz w:val="24"/>
          <w:szCs w:val="24"/>
        </w:rPr>
      </w:pPr>
      <w:r>
        <w:rPr>
          <w:rFonts w:ascii="Arial" w:eastAsia="Calibri" w:hAnsi="Arial" w:cs="Arial"/>
          <w:b/>
          <w:bCs/>
          <w:iCs/>
          <w:sz w:val="24"/>
          <w:szCs w:val="24"/>
        </w:rPr>
        <w:t>1:00 – 1:15 WELCOME</w:t>
      </w:r>
      <w:r w:rsidR="003F1AB3">
        <w:rPr>
          <w:rFonts w:ascii="Arial" w:eastAsia="Calibri" w:hAnsi="Arial" w:cs="Arial"/>
          <w:b/>
          <w:bCs/>
          <w:iCs/>
          <w:sz w:val="24"/>
          <w:szCs w:val="24"/>
        </w:rPr>
        <w:t xml:space="preserve"> and T</w:t>
      </w:r>
      <w:r w:rsidR="00B24BD5">
        <w:rPr>
          <w:rFonts w:ascii="Arial" w:eastAsia="Calibri" w:hAnsi="Arial" w:cs="Arial"/>
          <w:b/>
          <w:bCs/>
          <w:iCs/>
          <w:sz w:val="24"/>
          <w:szCs w:val="24"/>
        </w:rPr>
        <w:t xml:space="preserve">HANK YOU </w:t>
      </w:r>
      <w:r w:rsidR="003F1AB3">
        <w:rPr>
          <w:rFonts w:ascii="Arial" w:eastAsia="Calibri" w:hAnsi="Arial" w:cs="Arial"/>
          <w:b/>
          <w:bCs/>
          <w:iCs/>
          <w:sz w:val="24"/>
          <w:szCs w:val="24"/>
        </w:rPr>
        <w:t>to our sponsors</w:t>
      </w:r>
      <w:r w:rsidR="005F3315">
        <w:rPr>
          <w:rFonts w:ascii="Arial" w:eastAsia="Calibri" w:hAnsi="Arial" w:cs="Arial"/>
          <w:b/>
          <w:bCs/>
          <w:iCs/>
          <w:sz w:val="24"/>
          <w:szCs w:val="24"/>
        </w:rPr>
        <w:t>!</w:t>
      </w:r>
    </w:p>
    <w:p w14:paraId="715DE629" w14:textId="77777777" w:rsidR="0093105B" w:rsidRDefault="004618BF" w:rsidP="00C76F64">
      <w:pPr>
        <w:spacing w:after="0" w:line="240" w:lineRule="auto"/>
        <w:rPr>
          <w:rFonts w:ascii="Arial" w:eastAsia="Calibri" w:hAnsi="Arial" w:cs="Arial"/>
          <w:b/>
          <w:bCs/>
          <w:iCs/>
          <w:sz w:val="24"/>
          <w:szCs w:val="24"/>
        </w:rPr>
      </w:pPr>
      <w:r>
        <w:rPr>
          <w:rFonts w:ascii="Arial" w:eastAsia="Calibri" w:hAnsi="Arial" w:cs="Arial"/>
          <w:b/>
          <w:bCs/>
          <w:iCs/>
          <w:sz w:val="24"/>
          <w:szCs w:val="24"/>
        </w:rPr>
        <w:tab/>
      </w:r>
    </w:p>
    <w:p w14:paraId="2B71C33F" w14:textId="1CFEADCA" w:rsidR="004618BF" w:rsidRPr="00CF566E" w:rsidRDefault="00AB7298" w:rsidP="00C76F64">
      <w:pPr>
        <w:spacing w:after="0" w:line="240" w:lineRule="auto"/>
        <w:rPr>
          <w:rFonts w:ascii="Arial" w:eastAsia="Calibri" w:hAnsi="Arial" w:cs="Arial"/>
          <w:iCs/>
          <w:sz w:val="24"/>
          <w:szCs w:val="24"/>
        </w:rPr>
      </w:pPr>
      <w:r w:rsidRPr="00CF566E">
        <w:rPr>
          <w:rFonts w:ascii="Arial" w:eastAsia="Calibri" w:hAnsi="Arial" w:cs="Arial"/>
          <w:iCs/>
          <w:sz w:val="24"/>
          <w:szCs w:val="24"/>
        </w:rPr>
        <w:t>Jill Bisco - President GLALSB</w:t>
      </w:r>
    </w:p>
    <w:p w14:paraId="381BD70E" w14:textId="77777777" w:rsidR="0093105B" w:rsidRDefault="00AB7298" w:rsidP="00C76F64">
      <w:pPr>
        <w:spacing w:after="0" w:line="240" w:lineRule="auto"/>
        <w:rPr>
          <w:rFonts w:ascii="Arial" w:eastAsia="Calibri" w:hAnsi="Arial" w:cs="Arial"/>
          <w:iCs/>
          <w:sz w:val="24"/>
          <w:szCs w:val="24"/>
        </w:rPr>
      </w:pPr>
      <w:r w:rsidRPr="00CF566E">
        <w:rPr>
          <w:rFonts w:ascii="Arial" w:eastAsia="Calibri" w:hAnsi="Arial" w:cs="Arial"/>
          <w:iCs/>
          <w:sz w:val="24"/>
          <w:szCs w:val="24"/>
        </w:rPr>
        <w:tab/>
      </w:r>
    </w:p>
    <w:p w14:paraId="33AEFD7A" w14:textId="6C3ECB9B" w:rsidR="00AB7298" w:rsidRPr="00CF566E" w:rsidRDefault="00AB7298" w:rsidP="00C76F64">
      <w:pPr>
        <w:spacing w:after="0" w:line="240" w:lineRule="auto"/>
        <w:rPr>
          <w:rFonts w:ascii="Arial" w:eastAsia="Calibri" w:hAnsi="Arial" w:cs="Arial"/>
          <w:iCs/>
          <w:sz w:val="24"/>
          <w:szCs w:val="24"/>
        </w:rPr>
      </w:pPr>
      <w:r w:rsidRPr="00CF566E">
        <w:rPr>
          <w:rFonts w:ascii="Arial" w:eastAsia="Calibri" w:hAnsi="Arial" w:cs="Arial"/>
          <w:iCs/>
          <w:sz w:val="24"/>
          <w:szCs w:val="24"/>
        </w:rPr>
        <w:t xml:space="preserve">Eric Brisker </w:t>
      </w:r>
      <w:r w:rsidR="00CF566E" w:rsidRPr="00CF566E">
        <w:rPr>
          <w:rFonts w:ascii="Arial" w:eastAsia="Calibri" w:hAnsi="Arial" w:cs="Arial"/>
          <w:iCs/>
          <w:sz w:val="24"/>
          <w:szCs w:val="24"/>
        </w:rPr>
        <w:t xml:space="preserve">- </w:t>
      </w:r>
      <w:r w:rsidR="00812E22">
        <w:rPr>
          <w:rFonts w:ascii="Arial" w:eastAsia="Calibri" w:hAnsi="Arial" w:cs="Arial"/>
          <w:iCs/>
          <w:sz w:val="24"/>
          <w:szCs w:val="24"/>
        </w:rPr>
        <w:t xml:space="preserve">The University of Akron, Chair, </w:t>
      </w:r>
      <w:r w:rsidRPr="00CF566E">
        <w:rPr>
          <w:rFonts w:ascii="Arial" w:eastAsia="Calibri" w:hAnsi="Arial" w:cs="Arial"/>
          <w:iCs/>
          <w:sz w:val="24"/>
          <w:szCs w:val="24"/>
        </w:rPr>
        <w:t xml:space="preserve">Department of Finance </w:t>
      </w:r>
    </w:p>
    <w:p w14:paraId="427704BB" w14:textId="77777777" w:rsidR="00AB7298" w:rsidRDefault="00AB7298" w:rsidP="00C76F64">
      <w:pPr>
        <w:spacing w:after="0" w:line="240" w:lineRule="auto"/>
        <w:rPr>
          <w:rFonts w:ascii="Arial" w:eastAsia="Calibri" w:hAnsi="Arial" w:cs="Arial"/>
          <w:b/>
          <w:bCs/>
          <w:iCs/>
          <w:sz w:val="24"/>
          <w:szCs w:val="24"/>
        </w:rPr>
      </w:pPr>
    </w:p>
    <w:bookmarkEnd w:id="1"/>
    <w:p w14:paraId="5A19D2A2" w14:textId="77777777" w:rsidR="005F3315" w:rsidRDefault="005F3315" w:rsidP="001F7E99">
      <w:pPr>
        <w:spacing w:after="0" w:line="240" w:lineRule="auto"/>
        <w:jc w:val="center"/>
        <w:rPr>
          <w:rFonts w:ascii="Arial" w:eastAsia="Calibri" w:hAnsi="Arial" w:cs="Arial"/>
          <w:b/>
          <w:bCs/>
          <w:iCs/>
          <w:sz w:val="24"/>
          <w:szCs w:val="24"/>
        </w:rPr>
      </w:pPr>
    </w:p>
    <w:p w14:paraId="577538E4" w14:textId="2A738D6F" w:rsidR="003654EC" w:rsidRDefault="001F7E99" w:rsidP="001F7E99">
      <w:pPr>
        <w:spacing w:after="0"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0" locked="0" layoutInCell="1" allowOverlap="1" wp14:anchorId="478CB30C" wp14:editId="3F9DA00D">
            <wp:simplePos x="0" y="0"/>
            <wp:positionH relativeFrom="column">
              <wp:posOffset>2540941</wp:posOffset>
            </wp:positionH>
            <wp:positionV relativeFrom="paragraph">
              <wp:posOffset>808004</wp:posOffset>
            </wp:positionV>
            <wp:extent cx="950861" cy="964849"/>
            <wp:effectExtent l="0" t="0" r="1905" b="635"/>
            <wp:wrapNone/>
            <wp:docPr id="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0861" cy="964849"/>
                    </a:xfrm>
                    <a:prstGeom prst="rect">
                      <a:avLst/>
                    </a:prstGeom>
                    <a:noFill/>
                  </pic:spPr>
                </pic:pic>
              </a:graphicData>
            </a:graphic>
            <wp14:sizeRelH relativeFrom="margin">
              <wp14:pctWidth>0</wp14:pctWidth>
            </wp14:sizeRelH>
            <wp14:sizeRelV relativeFrom="margin">
              <wp14:pctHeight>0</wp14:pctHeight>
            </wp14:sizeRelV>
          </wp:anchor>
        </w:drawing>
      </w:r>
      <w:r w:rsidR="0034635A" w:rsidRPr="0034635A">
        <w:rPr>
          <w:rFonts w:ascii="Arial" w:eastAsia="Calibri" w:hAnsi="Arial" w:cs="Arial"/>
          <w:iCs/>
          <w:noProof/>
          <w:sz w:val="24"/>
          <w:szCs w:val="24"/>
        </w:rPr>
        <w:drawing>
          <wp:inline distT="0" distB="0" distL="0" distR="0" wp14:anchorId="6D890760" wp14:editId="7065BC44">
            <wp:extent cx="744132" cy="642620"/>
            <wp:effectExtent l="0" t="0" r="5715" b="5080"/>
            <wp:docPr id="1785967469" name="Picture 1"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967469" name="Picture 1" descr="A red sign with whit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6298" cy="687670"/>
                    </a:xfrm>
                    <a:prstGeom prst="rect">
                      <a:avLst/>
                    </a:prstGeom>
                    <a:noFill/>
                    <a:ln>
                      <a:noFill/>
                    </a:ln>
                  </pic:spPr>
                </pic:pic>
              </a:graphicData>
            </a:graphic>
          </wp:inline>
        </w:drawing>
      </w:r>
      <w:r w:rsidR="00035DDD">
        <w:rPr>
          <w:noProof/>
        </w:rPr>
        <mc:AlternateContent>
          <mc:Choice Requires="wps">
            <w:drawing>
              <wp:inline distT="0" distB="0" distL="0" distR="0" wp14:anchorId="1A1BA0AE" wp14:editId="1DC2901E">
                <wp:extent cx="304800" cy="304800"/>
                <wp:effectExtent l="0" t="0" r="0" b="0"/>
                <wp:docPr id="276032772" name="AutoShape 1"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554C9" w14:textId="77777777" w:rsidR="003654EC" w:rsidRDefault="003654EC" w:rsidP="003654EC">
                            <w:pPr>
                              <w:jc w:val="center"/>
                            </w:pPr>
                          </w:p>
                          <w:p w14:paraId="728B4F82" w14:textId="77777777" w:rsidR="003654EC" w:rsidRDefault="003654EC" w:rsidP="003654EC">
                            <w:pPr>
                              <w:jc w:val="center"/>
                            </w:pPr>
                          </w:p>
                        </w:txbxContent>
                      </wps:txbx>
                      <wps:bodyPr rot="0" vert="horz" wrap="square" lIns="91440" tIns="45720" rIns="91440" bIns="45720" anchor="t" anchorCtr="0" upright="1">
                        <a:noAutofit/>
                      </wps:bodyPr>
                    </wps:wsp>
                  </a:graphicData>
                </a:graphic>
              </wp:inline>
            </w:drawing>
          </mc:Choice>
          <mc:Fallback>
            <w:pict>
              <v:rect w14:anchorId="1A1BA0AE" id="AutoShape 1"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4BF554C9" w14:textId="77777777" w:rsidR="003654EC" w:rsidRDefault="003654EC" w:rsidP="003654EC">
                      <w:pPr>
                        <w:jc w:val="center"/>
                      </w:pPr>
                    </w:p>
                    <w:p w14:paraId="728B4F82" w14:textId="77777777" w:rsidR="003654EC" w:rsidRDefault="003654EC" w:rsidP="003654EC">
                      <w:pPr>
                        <w:jc w:val="center"/>
                      </w:pPr>
                    </w:p>
                  </w:txbxContent>
                </v:textbox>
                <w10:anchorlock/>
              </v:rect>
            </w:pict>
          </mc:Fallback>
        </mc:AlternateContent>
      </w:r>
      <w:r w:rsidR="00FD4D7A" w:rsidRPr="00B24BD5">
        <w:rPr>
          <w:rFonts w:ascii="Arial" w:eastAsia="Calibri" w:hAnsi="Arial" w:cs="Arial"/>
          <w:iCs/>
          <w:noProof/>
        </w:rPr>
        <w:drawing>
          <wp:inline distT="0" distB="0" distL="0" distR="0" wp14:anchorId="1CBB0E22" wp14:editId="4EA022D9">
            <wp:extent cx="1545021" cy="815975"/>
            <wp:effectExtent l="0" t="0" r="4445" b="0"/>
            <wp:docPr id="83539514"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39514" name="Picture 2" descr="A blue and whit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6353" cy="821960"/>
                    </a:xfrm>
                    <a:prstGeom prst="rect">
                      <a:avLst/>
                    </a:prstGeom>
                    <a:noFill/>
                    <a:ln>
                      <a:noFill/>
                    </a:ln>
                  </pic:spPr>
                </pic:pic>
              </a:graphicData>
            </a:graphic>
          </wp:inline>
        </w:drawing>
      </w:r>
    </w:p>
    <w:p w14:paraId="76BA752E" w14:textId="28E56BAC" w:rsidR="003654EC" w:rsidRDefault="003654EC" w:rsidP="001F7E99">
      <w:pPr>
        <w:spacing w:after="0" w:line="240" w:lineRule="auto"/>
        <w:jc w:val="center"/>
        <w:rPr>
          <w:rFonts w:ascii="Times New Roman" w:eastAsia="Times New Roman" w:hAnsi="Times New Roman" w:cs="Times New Roman"/>
          <w:sz w:val="24"/>
          <w:szCs w:val="24"/>
        </w:rPr>
      </w:pPr>
    </w:p>
    <w:p w14:paraId="128402B0" w14:textId="76850395" w:rsidR="003654EC" w:rsidRDefault="003654EC" w:rsidP="001F7E99">
      <w:pPr>
        <w:spacing w:after="0" w:line="240" w:lineRule="auto"/>
        <w:jc w:val="center"/>
        <w:rPr>
          <w:rFonts w:ascii="Times New Roman" w:eastAsia="Times New Roman" w:hAnsi="Times New Roman" w:cs="Times New Roman"/>
          <w:sz w:val="24"/>
          <w:szCs w:val="24"/>
        </w:rPr>
      </w:pPr>
    </w:p>
    <w:p w14:paraId="0AD75124" w14:textId="0295087E" w:rsidR="00417CF4" w:rsidRDefault="00035DDD" w:rsidP="001F7E99">
      <w:pPr>
        <w:spacing w:after="0" w:line="240" w:lineRule="auto"/>
        <w:jc w:val="center"/>
        <w:rPr>
          <w:rFonts w:ascii="Arial" w:eastAsia="Calibri" w:hAnsi="Arial" w:cs="Arial"/>
          <w:iCs/>
        </w:rPr>
      </w:pPr>
      <w:r>
        <w:rPr>
          <w:rFonts w:ascii="Times New Roman" w:eastAsia="Times New Roman" w:hAnsi="Times New Roman" w:cs="Times New Roman"/>
          <w:noProof/>
          <w:sz w:val="24"/>
          <w:szCs w:val="24"/>
        </w:rPr>
        <w:drawing>
          <wp:inline distT="0" distB="0" distL="0" distR="0" wp14:anchorId="78C4698B" wp14:editId="63B33F55">
            <wp:extent cx="2645410" cy="790610"/>
            <wp:effectExtent l="0" t="0" r="2540" b="9525"/>
            <wp:docPr id="1946436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5740" cy="799674"/>
                    </a:xfrm>
                    <a:prstGeom prst="rect">
                      <a:avLst/>
                    </a:prstGeom>
                    <a:noFill/>
                  </pic:spPr>
                </pic:pic>
              </a:graphicData>
            </a:graphic>
          </wp:inline>
        </w:drawing>
      </w:r>
      <w:r w:rsidR="006E7C37">
        <w:rPr>
          <w:rFonts w:ascii="Arial" w:eastAsia="Calibri" w:hAnsi="Arial" w:cs="Arial"/>
          <w:iCs/>
          <w:noProof/>
        </w:rPr>
        <w:drawing>
          <wp:inline distT="0" distB="0" distL="0" distR="0" wp14:anchorId="5E8B9395" wp14:editId="2825CD55">
            <wp:extent cx="2432685" cy="1536065"/>
            <wp:effectExtent l="0" t="0" r="5715" b="6985"/>
            <wp:docPr id="899054099" name="Picture 2" descr="A blue circle with a white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54099" name="Picture 2" descr="A blue circle with a white letter in i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2685" cy="1536065"/>
                    </a:xfrm>
                    <a:prstGeom prst="rect">
                      <a:avLst/>
                    </a:prstGeom>
                    <a:noFill/>
                  </pic:spPr>
                </pic:pic>
              </a:graphicData>
            </a:graphic>
          </wp:inline>
        </w:drawing>
      </w:r>
      <w:r w:rsidR="00417CF4" w:rsidRPr="00417CF4">
        <w:rPr>
          <w:rFonts w:ascii="Arial" w:eastAsia="Calibri" w:hAnsi="Arial" w:cs="Arial"/>
          <w:iCs/>
          <w:noProof/>
        </w:rPr>
        <w:drawing>
          <wp:inline distT="0" distB="0" distL="0" distR="0" wp14:anchorId="5CAD991A" wp14:editId="5224C7FA">
            <wp:extent cx="4035972" cy="1170305"/>
            <wp:effectExtent l="0" t="0" r="3175" b="0"/>
            <wp:docPr id="586042037"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42037" name="Picture 2" descr="A black background with white 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05100" cy="1190350"/>
                    </a:xfrm>
                    <a:prstGeom prst="rect">
                      <a:avLst/>
                    </a:prstGeom>
                    <a:noFill/>
                    <a:ln>
                      <a:noFill/>
                    </a:ln>
                  </pic:spPr>
                </pic:pic>
              </a:graphicData>
            </a:graphic>
          </wp:inline>
        </w:drawing>
      </w:r>
    </w:p>
    <w:p w14:paraId="2025D767" w14:textId="77777777" w:rsidR="0093105B" w:rsidRDefault="0093105B" w:rsidP="00417CF4">
      <w:pPr>
        <w:spacing w:after="0" w:line="240" w:lineRule="auto"/>
        <w:rPr>
          <w:rFonts w:ascii="Arial" w:eastAsia="Calibri" w:hAnsi="Arial" w:cs="Arial"/>
          <w:iCs/>
        </w:rPr>
      </w:pPr>
    </w:p>
    <w:p w14:paraId="3A3A30F7" w14:textId="77777777" w:rsidR="0093105B" w:rsidRDefault="0093105B" w:rsidP="00417CF4">
      <w:pPr>
        <w:spacing w:after="0" w:line="240" w:lineRule="auto"/>
        <w:rPr>
          <w:rFonts w:ascii="Arial" w:eastAsia="Calibri" w:hAnsi="Arial" w:cs="Arial"/>
          <w:iCs/>
        </w:rPr>
      </w:pPr>
    </w:p>
    <w:p w14:paraId="2C239383" w14:textId="77777777" w:rsidR="001F7E99" w:rsidRPr="00417CF4" w:rsidRDefault="001F7E99" w:rsidP="00417CF4">
      <w:pPr>
        <w:spacing w:after="0" w:line="240" w:lineRule="auto"/>
        <w:rPr>
          <w:rFonts w:ascii="Arial" w:eastAsia="Calibri" w:hAnsi="Arial" w:cs="Arial"/>
          <w:iCs/>
        </w:rPr>
      </w:pPr>
    </w:p>
    <w:p w14:paraId="49FC7090" w14:textId="49B9A79D" w:rsidR="00630BF5" w:rsidRPr="00573554" w:rsidRDefault="00581736" w:rsidP="00C76F64">
      <w:pPr>
        <w:spacing w:after="0" w:line="240" w:lineRule="auto"/>
        <w:rPr>
          <w:rFonts w:ascii="Times New Roman" w:eastAsia="Calibri" w:hAnsi="Times New Roman" w:cs="Times New Roman"/>
          <w:b/>
          <w:bCs/>
          <w:iCs/>
          <w:sz w:val="24"/>
          <w:szCs w:val="24"/>
        </w:rPr>
      </w:pPr>
      <w:bookmarkStart w:id="2" w:name="_Hlk179442495"/>
      <w:r w:rsidRPr="00573554">
        <w:rPr>
          <w:rFonts w:ascii="Times New Roman" w:eastAsia="Calibri" w:hAnsi="Times New Roman" w:cs="Times New Roman"/>
          <w:b/>
          <w:bCs/>
          <w:iCs/>
          <w:sz w:val="24"/>
          <w:szCs w:val="24"/>
        </w:rPr>
        <w:t>1:</w:t>
      </w:r>
      <w:r w:rsidR="004D5775" w:rsidRPr="00573554">
        <w:rPr>
          <w:rFonts w:ascii="Times New Roman" w:eastAsia="Calibri" w:hAnsi="Times New Roman" w:cs="Times New Roman"/>
          <w:b/>
          <w:bCs/>
          <w:iCs/>
          <w:sz w:val="24"/>
          <w:szCs w:val="24"/>
        </w:rPr>
        <w:t>15</w:t>
      </w:r>
      <w:r w:rsidRPr="00573554">
        <w:rPr>
          <w:rFonts w:ascii="Times New Roman" w:eastAsia="Calibri" w:hAnsi="Times New Roman" w:cs="Times New Roman"/>
          <w:b/>
          <w:bCs/>
          <w:iCs/>
          <w:sz w:val="24"/>
          <w:szCs w:val="24"/>
        </w:rPr>
        <w:t xml:space="preserve"> – 3:00 SESSION 1</w:t>
      </w:r>
      <w:r w:rsidR="00135B0F" w:rsidRPr="00573554">
        <w:rPr>
          <w:rFonts w:ascii="Times New Roman" w:eastAsia="Calibri" w:hAnsi="Times New Roman" w:cs="Times New Roman"/>
          <w:b/>
          <w:bCs/>
          <w:iCs/>
          <w:sz w:val="24"/>
          <w:szCs w:val="24"/>
        </w:rPr>
        <w:t xml:space="preserve"> </w:t>
      </w:r>
    </w:p>
    <w:p w14:paraId="6197196C" w14:textId="77777777" w:rsidR="00AD7B5A" w:rsidRPr="00573554" w:rsidRDefault="00630BF5" w:rsidP="00AD7B5A">
      <w:pPr>
        <w:spacing w:after="0" w:line="240" w:lineRule="auto"/>
        <w:rPr>
          <w:rFonts w:ascii="Times New Roman" w:eastAsia="Calibri" w:hAnsi="Times New Roman" w:cs="Times New Roman"/>
          <w:b/>
          <w:bCs/>
          <w:iCs/>
          <w:sz w:val="24"/>
          <w:szCs w:val="24"/>
        </w:rPr>
      </w:pPr>
      <w:r w:rsidRPr="00573554">
        <w:rPr>
          <w:rFonts w:ascii="Times New Roman" w:eastAsia="Calibri" w:hAnsi="Times New Roman" w:cs="Times New Roman"/>
          <w:b/>
          <w:bCs/>
          <w:iCs/>
          <w:sz w:val="24"/>
          <w:szCs w:val="24"/>
        </w:rPr>
        <w:lastRenderedPageBreak/>
        <w:tab/>
      </w:r>
    </w:p>
    <w:p w14:paraId="441D885D" w14:textId="3D0576A4" w:rsidR="00914BF6" w:rsidRPr="00573554" w:rsidRDefault="00E025C5" w:rsidP="00530694">
      <w:pPr>
        <w:rPr>
          <w:rFonts w:ascii="Times New Roman" w:eastAsia="Calibri" w:hAnsi="Times New Roman" w:cs="Times New Roman"/>
          <w:sz w:val="24"/>
          <w:szCs w:val="24"/>
          <w:u w:val="single"/>
        </w:rPr>
      </w:pPr>
      <w:r w:rsidRPr="00573554">
        <w:rPr>
          <w:rFonts w:ascii="Times New Roman" w:hAnsi="Times New Roman" w:cs="Times New Roman"/>
          <w:sz w:val="24"/>
          <w:szCs w:val="24"/>
        </w:rPr>
        <w:t xml:space="preserve">      </w:t>
      </w:r>
      <w:r w:rsidR="008A539A" w:rsidRPr="00573554">
        <w:rPr>
          <w:rFonts w:ascii="Times New Roman" w:hAnsi="Times New Roman" w:cs="Times New Roman"/>
          <w:sz w:val="24"/>
          <w:szCs w:val="24"/>
          <w:u w:val="single"/>
        </w:rPr>
        <w:t>1:</w:t>
      </w:r>
      <w:r w:rsidR="00CF3A81" w:rsidRPr="00573554">
        <w:rPr>
          <w:rFonts w:ascii="Times New Roman" w:hAnsi="Times New Roman" w:cs="Times New Roman"/>
          <w:sz w:val="24"/>
          <w:szCs w:val="24"/>
          <w:u w:val="single"/>
        </w:rPr>
        <w:t>15</w:t>
      </w:r>
      <w:r w:rsidR="008A539A" w:rsidRPr="00573554">
        <w:rPr>
          <w:rFonts w:ascii="Times New Roman" w:hAnsi="Times New Roman" w:cs="Times New Roman"/>
          <w:sz w:val="24"/>
          <w:szCs w:val="24"/>
          <w:u w:val="single"/>
        </w:rPr>
        <w:t xml:space="preserve"> </w:t>
      </w:r>
      <w:r w:rsidR="00132724" w:rsidRPr="00573554">
        <w:rPr>
          <w:rFonts w:ascii="Times New Roman" w:hAnsi="Times New Roman" w:cs="Times New Roman"/>
          <w:sz w:val="24"/>
          <w:szCs w:val="24"/>
          <w:u w:val="single"/>
        </w:rPr>
        <w:t>–</w:t>
      </w:r>
      <w:r w:rsidR="008A539A" w:rsidRPr="00573554">
        <w:rPr>
          <w:rFonts w:ascii="Times New Roman" w:hAnsi="Times New Roman" w:cs="Times New Roman"/>
          <w:sz w:val="24"/>
          <w:szCs w:val="24"/>
          <w:u w:val="single"/>
        </w:rPr>
        <w:t xml:space="preserve"> </w:t>
      </w:r>
      <w:r w:rsidR="00CF3A81" w:rsidRPr="00573554">
        <w:rPr>
          <w:rFonts w:ascii="Times New Roman" w:hAnsi="Times New Roman" w:cs="Times New Roman"/>
          <w:sz w:val="24"/>
          <w:szCs w:val="24"/>
          <w:u w:val="single"/>
        </w:rPr>
        <w:t>1</w:t>
      </w:r>
      <w:r w:rsidR="00132724" w:rsidRPr="00573554">
        <w:rPr>
          <w:rFonts w:ascii="Times New Roman" w:hAnsi="Times New Roman" w:cs="Times New Roman"/>
          <w:sz w:val="24"/>
          <w:szCs w:val="24"/>
          <w:u w:val="single"/>
        </w:rPr>
        <w:t>:</w:t>
      </w:r>
      <w:r w:rsidR="00BB2301" w:rsidRPr="00573554">
        <w:rPr>
          <w:rFonts w:ascii="Times New Roman" w:hAnsi="Times New Roman" w:cs="Times New Roman"/>
          <w:sz w:val="24"/>
          <w:szCs w:val="24"/>
          <w:u w:val="single"/>
        </w:rPr>
        <w:t>35</w:t>
      </w:r>
      <w:r w:rsidR="000B2178" w:rsidRPr="00573554">
        <w:rPr>
          <w:rFonts w:ascii="Times New Roman" w:hAnsi="Times New Roman" w:cs="Times New Roman"/>
          <w:sz w:val="24"/>
          <w:szCs w:val="24"/>
          <w:u w:val="single"/>
        </w:rPr>
        <w:t xml:space="preserve"> </w:t>
      </w:r>
      <w:r w:rsidR="00530694" w:rsidRPr="00573554">
        <w:rPr>
          <w:rFonts w:ascii="Times New Roman" w:hAnsi="Times New Roman" w:cs="Times New Roman"/>
          <w:sz w:val="24"/>
          <w:szCs w:val="24"/>
          <w:u w:val="single"/>
        </w:rPr>
        <w:t>Joseph Galante</w:t>
      </w:r>
      <w:bookmarkEnd w:id="2"/>
      <w:r w:rsidR="00530694" w:rsidRPr="00573554">
        <w:rPr>
          <w:rFonts w:ascii="Times New Roman" w:hAnsi="Times New Roman" w:cs="Times New Roman"/>
          <w:sz w:val="24"/>
          <w:szCs w:val="24"/>
          <w:u w:val="single"/>
        </w:rPr>
        <w:t xml:space="preserve">, </w:t>
      </w:r>
      <w:r w:rsidR="00914BF6" w:rsidRPr="00573554">
        <w:rPr>
          <w:rFonts w:ascii="Times New Roman" w:eastAsia="Calibri" w:hAnsi="Times New Roman" w:cs="Times New Roman"/>
          <w:sz w:val="24"/>
          <w:szCs w:val="24"/>
          <w:u w:val="single"/>
        </w:rPr>
        <w:t>M</w:t>
      </w:r>
      <w:r w:rsidR="00530694" w:rsidRPr="00573554">
        <w:rPr>
          <w:rFonts w:ascii="Times New Roman" w:eastAsia="Calibri" w:hAnsi="Times New Roman" w:cs="Times New Roman"/>
          <w:sz w:val="24"/>
          <w:szCs w:val="24"/>
          <w:u w:val="single"/>
        </w:rPr>
        <w:t>illersville Uni</w:t>
      </w:r>
      <w:r w:rsidR="007307B0" w:rsidRPr="00573554">
        <w:rPr>
          <w:rFonts w:ascii="Times New Roman" w:eastAsia="Calibri" w:hAnsi="Times New Roman" w:cs="Times New Roman"/>
          <w:sz w:val="24"/>
          <w:szCs w:val="24"/>
          <w:u w:val="single"/>
        </w:rPr>
        <w:t xml:space="preserve">versity of Pennsylvania </w:t>
      </w:r>
    </w:p>
    <w:p w14:paraId="752BFCE2" w14:textId="1EF96290" w:rsidR="00777C7D" w:rsidRPr="00573554" w:rsidRDefault="00777C7D" w:rsidP="00777C7D">
      <w:pPr>
        <w:spacing w:line="240" w:lineRule="auto"/>
        <w:ind w:firstLine="720"/>
        <w:rPr>
          <w:rFonts w:ascii="Times New Roman" w:eastAsia="Calibri" w:hAnsi="Times New Roman" w:cs="Times New Roman"/>
          <w:b/>
          <w:bCs/>
          <w:sz w:val="24"/>
          <w:szCs w:val="24"/>
        </w:rPr>
      </w:pPr>
      <w:r w:rsidRPr="00573554">
        <w:rPr>
          <w:rFonts w:ascii="Times New Roman" w:eastAsia="Calibri" w:hAnsi="Times New Roman" w:cs="Times New Roman"/>
          <w:b/>
          <w:bCs/>
          <w:sz w:val="24"/>
          <w:szCs w:val="24"/>
        </w:rPr>
        <w:t>CORPORATE VEIL PIERCING: ANALYSIS AND RECENT DEVELOPMENTS</w:t>
      </w:r>
    </w:p>
    <w:p w14:paraId="744EFBFD" w14:textId="77777777" w:rsidR="00914BF6" w:rsidRPr="00573554" w:rsidRDefault="00914BF6" w:rsidP="00530694">
      <w:pPr>
        <w:spacing w:after="0" w:line="240" w:lineRule="auto"/>
        <w:ind w:firstLine="720"/>
        <w:jc w:val="center"/>
        <w:rPr>
          <w:rFonts w:ascii="Times New Roman" w:eastAsia="Calibri" w:hAnsi="Times New Roman" w:cs="Times New Roman"/>
          <w:b/>
          <w:bCs/>
          <w:sz w:val="24"/>
          <w:szCs w:val="24"/>
        </w:rPr>
      </w:pPr>
      <w:r w:rsidRPr="00573554">
        <w:rPr>
          <w:rFonts w:ascii="Times New Roman" w:eastAsia="Calibri" w:hAnsi="Times New Roman" w:cs="Times New Roman"/>
          <w:b/>
          <w:bCs/>
          <w:sz w:val="24"/>
          <w:szCs w:val="24"/>
        </w:rPr>
        <w:t>ABSTRACT</w:t>
      </w:r>
    </w:p>
    <w:p w14:paraId="2696D2FB" w14:textId="77777777" w:rsidR="003A3044" w:rsidRDefault="003A3044" w:rsidP="003A3044">
      <w:pPr>
        <w:ind w:left="720"/>
        <w:rPr>
          <w:rFonts w:ascii="Times New Roman" w:hAnsi="Times New Roman" w:cs="Times New Roman"/>
          <w:sz w:val="24"/>
          <w:szCs w:val="24"/>
        </w:rPr>
      </w:pPr>
      <w:r>
        <w:rPr>
          <w:rFonts w:ascii="Times New Roman" w:hAnsi="Times New Roman" w:cs="Times New Roman"/>
          <w:sz w:val="24"/>
          <w:szCs w:val="24"/>
        </w:rPr>
        <w:t>The corporate structure’s limited liability afforded to its investors has been the defining feature since the beginning of private corporation.  Insulating shareholders from the debts of the business made it easier for promoters to solicit capital from a wider bases of investors.  This allowed for first fueling the Industrial Revolution to the current information age.  Under certain, limited circumstances creditors could “pierce the corporate veil” to recover from the personal assets of the corporation’s shareholders.  The legal landscape is changing, and businesses need to re-evaluate their conventional forms of entities and operational strategies as these impactful changes become more widely recognized regionally, and nationally.</w:t>
      </w:r>
    </w:p>
    <w:p w14:paraId="32C6AB6E" w14:textId="77777777" w:rsidR="00530694" w:rsidRPr="00573554" w:rsidRDefault="00530694" w:rsidP="00530694">
      <w:pPr>
        <w:spacing w:after="0" w:line="240" w:lineRule="auto"/>
        <w:rPr>
          <w:rFonts w:ascii="Times New Roman" w:eastAsia="Calibri" w:hAnsi="Times New Roman" w:cs="Times New Roman"/>
          <w:sz w:val="24"/>
          <w:szCs w:val="24"/>
        </w:rPr>
      </w:pPr>
    </w:p>
    <w:p w14:paraId="15BB6DA5" w14:textId="4F359703" w:rsidR="00DB2053" w:rsidRPr="00573554" w:rsidRDefault="00574DAF" w:rsidP="0039636C">
      <w:pPr>
        <w:ind w:left="360"/>
        <w:rPr>
          <w:rFonts w:ascii="Times New Roman" w:hAnsi="Times New Roman" w:cs="Times New Roman"/>
          <w:sz w:val="24"/>
          <w:szCs w:val="24"/>
          <w:u w:val="single"/>
        </w:rPr>
      </w:pPr>
      <w:r w:rsidRPr="00573554">
        <w:rPr>
          <w:rFonts w:ascii="Times New Roman" w:hAnsi="Times New Roman" w:cs="Times New Roman"/>
          <w:sz w:val="24"/>
          <w:szCs w:val="24"/>
          <w:u w:val="single"/>
        </w:rPr>
        <w:t>1:</w:t>
      </w:r>
      <w:r w:rsidR="00BB2301" w:rsidRPr="00573554">
        <w:rPr>
          <w:rFonts w:ascii="Times New Roman" w:hAnsi="Times New Roman" w:cs="Times New Roman"/>
          <w:sz w:val="24"/>
          <w:szCs w:val="24"/>
          <w:u w:val="single"/>
        </w:rPr>
        <w:t>35</w:t>
      </w:r>
      <w:r w:rsidRPr="00573554">
        <w:rPr>
          <w:rFonts w:ascii="Times New Roman" w:hAnsi="Times New Roman" w:cs="Times New Roman"/>
          <w:sz w:val="24"/>
          <w:szCs w:val="24"/>
          <w:u w:val="single"/>
        </w:rPr>
        <w:t xml:space="preserve"> </w:t>
      </w:r>
      <w:r w:rsidR="00394302" w:rsidRPr="00573554">
        <w:rPr>
          <w:rFonts w:ascii="Times New Roman" w:hAnsi="Times New Roman" w:cs="Times New Roman"/>
          <w:sz w:val="24"/>
          <w:szCs w:val="24"/>
          <w:u w:val="single"/>
        </w:rPr>
        <w:t>–</w:t>
      </w:r>
      <w:r w:rsidRPr="00573554">
        <w:rPr>
          <w:rFonts w:ascii="Times New Roman" w:hAnsi="Times New Roman" w:cs="Times New Roman"/>
          <w:sz w:val="24"/>
          <w:szCs w:val="24"/>
          <w:u w:val="single"/>
        </w:rPr>
        <w:t xml:space="preserve"> </w:t>
      </w:r>
      <w:r w:rsidR="00335B69" w:rsidRPr="00573554">
        <w:rPr>
          <w:rFonts w:ascii="Times New Roman" w:hAnsi="Times New Roman" w:cs="Times New Roman"/>
          <w:sz w:val="24"/>
          <w:szCs w:val="24"/>
          <w:u w:val="single"/>
        </w:rPr>
        <w:t>2</w:t>
      </w:r>
      <w:r w:rsidR="00740FF1" w:rsidRPr="00573554">
        <w:rPr>
          <w:rFonts w:ascii="Times New Roman" w:hAnsi="Times New Roman" w:cs="Times New Roman"/>
          <w:sz w:val="24"/>
          <w:szCs w:val="24"/>
          <w:u w:val="single"/>
        </w:rPr>
        <w:t>:</w:t>
      </w:r>
      <w:r w:rsidR="00335B69" w:rsidRPr="00573554">
        <w:rPr>
          <w:rFonts w:ascii="Times New Roman" w:hAnsi="Times New Roman" w:cs="Times New Roman"/>
          <w:sz w:val="24"/>
          <w:szCs w:val="24"/>
          <w:u w:val="single"/>
        </w:rPr>
        <w:t>00</w:t>
      </w:r>
      <w:r w:rsidR="000B2178" w:rsidRPr="00573554">
        <w:rPr>
          <w:rFonts w:ascii="Times New Roman" w:hAnsi="Times New Roman" w:cs="Times New Roman"/>
          <w:sz w:val="24"/>
          <w:szCs w:val="24"/>
          <w:u w:val="single"/>
        </w:rPr>
        <w:t xml:space="preserve"> </w:t>
      </w:r>
      <w:r w:rsidR="00F72C4B" w:rsidRPr="00573554">
        <w:rPr>
          <w:rFonts w:ascii="Times New Roman" w:hAnsi="Times New Roman" w:cs="Times New Roman"/>
          <w:sz w:val="24"/>
          <w:szCs w:val="24"/>
          <w:u w:val="single"/>
        </w:rPr>
        <w:t>Joseph Galante</w:t>
      </w:r>
      <w:r w:rsidR="00C23D4E" w:rsidRPr="00573554">
        <w:rPr>
          <w:rFonts w:ascii="Times New Roman" w:hAnsi="Times New Roman" w:cs="Times New Roman"/>
          <w:sz w:val="24"/>
          <w:szCs w:val="24"/>
          <w:u w:val="single"/>
        </w:rPr>
        <w:t xml:space="preserve"> &amp; Student </w:t>
      </w:r>
      <w:r w:rsidR="00D153CE" w:rsidRPr="00573554">
        <w:rPr>
          <w:rFonts w:ascii="Times New Roman" w:hAnsi="Times New Roman" w:cs="Times New Roman"/>
          <w:sz w:val="24"/>
          <w:szCs w:val="24"/>
          <w:u w:val="single"/>
        </w:rPr>
        <w:t>Claire</w:t>
      </w:r>
      <w:r w:rsidR="00DA7CE4" w:rsidRPr="00573554">
        <w:rPr>
          <w:rFonts w:ascii="Times New Roman" w:hAnsi="Times New Roman" w:cs="Times New Roman"/>
          <w:sz w:val="24"/>
          <w:szCs w:val="24"/>
          <w:u w:val="single"/>
        </w:rPr>
        <w:t xml:space="preserve"> Coones</w:t>
      </w:r>
      <w:r w:rsidR="00F72C4B" w:rsidRPr="00573554">
        <w:rPr>
          <w:rFonts w:ascii="Times New Roman" w:hAnsi="Times New Roman" w:cs="Times New Roman"/>
          <w:sz w:val="24"/>
          <w:szCs w:val="24"/>
          <w:u w:val="single"/>
        </w:rPr>
        <w:t xml:space="preserve">, Millersville University of </w:t>
      </w:r>
      <w:r w:rsidR="0039636C" w:rsidRPr="00573554">
        <w:rPr>
          <w:rFonts w:ascii="Times New Roman" w:hAnsi="Times New Roman" w:cs="Times New Roman"/>
          <w:sz w:val="24"/>
          <w:szCs w:val="24"/>
          <w:u w:val="single"/>
        </w:rPr>
        <w:t xml:space="preserve">       </w:t>
      </w:r>
      <w:r w:rsidR="00A713B5" w:rsidRPr="00573554">
        <w:rPr>
          <w:rFonts w:ascii="Times New Roman" w:hAnsi="Times New Roman" w:cs="Times New Roman"/>
          <w:sz w:val="24"/>
          <w:szCs w:val="24"/>
          <w:u w:val="single"/>
        </w:rPr>
        <w:t xml:space="preserve">  </w:t>
      </w:r>
      <w:r w:rsidR="00DA7CE4" w:rsidRPr="00573554">
        <w:rPr>
          <w:rFonts w:ascii="Times New Roman" w:hAnsi="Times New Roman" w:cs="Times New Roman"/>
          <w:sz w:val="24"/>
          <w:szCs w:val="24"/>
          <w:u w:val="single"/>
        </w:rPr>
        <w:t>P</w:t>
      </w:r>
      <w:r w:rsidR="00F72C4B" w:rsidRPr="00573554">
        <w:rPr>
          <w:rFonts w:ascii="Times New Roman" w:hAnsi="Times New Roman" w:cs="Times New Roman"/>
          <w:sz w:val="24"/>
          <w:szCs w:val="24"/>
          <w:u w:val="single"/>
        </w:rPr>
        <w:t>ennsylvania</w:t>
      </w:r>
    </w:p>
    <w:p w14:paraId="06D32E92" w14:textId="77777777" w:rsidR="00D153CE" w:rsidRPr="00573554" w:rsidRDefault="00D153CE" w:rsidP="00DA7CE4">
      <w:pPr>
        <w:ind w:firstLine="720"/>
        <w:rPr>
          <w:rFonts w:ascii="Times New Roman" w:hAnsi="Times New Roman" w:cs="Times New Roman"/>
          <w:b/>
          <w:bCs/>
          <w:sz w:val="24"/>
          <w:szCs w:val="24"/>
        </w:rPr>
      </w:pPr>
      <w:r w:rsidRPr="00573554">
        <w:rPr>
          <w:rFonts w:ascii="Times New Roman" w:hAnsi="Times New Roman" w:cs="Times New Roman"/>
          <w:b/>
          <w:bCs/>
          <w:sz w:val="24"/>
          <w:szCs w:val="24"/>
        </w:rPr>
        <w:t>FRAUD IN THE CLASSIC AUTOMOBILE COLLECTION INDUSTRY</w:t>
      </w:r>
    </w:p>
    <w:p w14:paraId="75841AEB" w14:textId="77777777" w:rsidR="00D153CE" w:rsidRPr="00573554" w:rsidRDefault="00D153CE" w:rsidP="00DA7CE4">
      <w:pPr>
        <w:spacing w:after="0" w:line="240" w:lineRule="auto"/>
        <w:ind w:firstLine="720"/>
        <w:jc w:val="center"/>
        <w:rPr>
          <w:rFonts w:ascii="Times New Roman" w:eastAsia="Calibri" w:hAnsi="Times New Roman" w:cs="Times New Roman"/>
          <w:b/>
          <w:bCs/>
          <w:sz w:val="24"/>
          <w:szCs w:val="24"/>
        </w:rPr>
      </w:pPr>
      <w:r w:rsidRPr="00573554">
        <w:rPr>
          <w:rFonts w:ascii="Times New Roman" w:eastAsia="Calibri" w:hAnsi="Times New Roman" w:cs="Times New Roman"/>
          <w:b/>
          <w:bCs/>
          <w:sz w:val="24"/>
          <w:szCs w:val="24"/>
        </w:rPr>
        <w:t>ABSTRACT</w:t>
      </w:r>
    </w:p>
    <w:p w14:paraId="68099FE8" w14:textId="77777777" w:rsidR="00D153CE" w:rsidRDefault="00D153CE" w:rsidP="00DA7CE4">
      <w:pPr>
        <w:ind w:left="720"/>
        <w:rPr>
          <w:rFonts w:ascii="Times New Roman" w:hAnsi="Times New Roman" w:cs="Times New Roman"/>
          <w:sz w:val="24"/>
          <w:szCs w:val="24"/>
        </w:rPr>
      </w:pPr>
      <w:r w:rsidRPr="00573554">
        <w:rPr>
          <w:rFonts w:ascii="Times New Roman" w:hAnsi="Times New Roman" w:cs="Times New Roman"/>
          <w:sz w:val="24"/>
          <w:szCs w:val="24"/>
        </w:rPr>
        <w:t>The classic automobile collection industry, valued at billions of dollars worldwide, works upon a strong foundation of financial investment and trust. Classic and rare cars are often sold for millions of dollars, making the classic and rare automobile industry a hot spot for fraud and deceit. From counterfeit vehicle documentation to outright lies about vehicle restorations and authenticity, fraudulent practices damper the trust that investors place in this market. These crimes cause significant financial losses each year and damage the integrity of the entire industry. This paper will examine various forms of fraud in the classic automobile collection industry and strategic practices that may unearth fraud and its harmful effects on buyers looking to acquire a classic automobile.</w:t>
      </w:r>
    </w:p>
    <w:p w14:paraId="489D1D6B" w14:textId="77777777" w:rsidR="00D5134C" w:rsidRPr="00573554" w:rsidRDefault="00D5134C" w:rsidP="00DA7CE4">
      <w:pPr>
        <w:ind w:left="720"/>
        <w:rPr>
          <w:rFonts w:ascii="Times New Roman" w:hAnsi="Times New Roman" w:cs="Times New Roman"/>
          <w:sz w:val="24"/>
          <w:szCs w:val="24"/>
        </w:rPr>
      </w:pPr>
    </w:p>
    <w:p w14:paraId="0811DB95" w14:textId="77777777" w:rsidR="00D972C1" w:rsidRDefault="00A713B5" w:rsidP="00B66DBF">
      <w:pPr>
        <w:rPr>
          <w:rFonts w:ascii="Times New Roman" w:hAnsi="Times New Roman" w:cs="Times New Roman"/>
          <w:sz w:val="24"/>
          <w:szCs w:val="24"/>
        </w:rPr>
      </w:pPr>
      <w:bookmarkStart w:id="3" w:name="_Hlk179442525"/>
      <w:r w:rsidRPr="00573554">
        <w:rPr>
          <w:rFonts w:ascii="Times New Roman" w:hAnsi="Times New Roman" w:cs="Times New Roman"/>
          <w:sz w:val="24"/>
          <w:szCs w:val="24"/>
        </w:rPr>
        <w:t xml:space="preserve">      </w:t>
      </w:r>
    </w:p>
    <w:p w14:paraId="12903603" w14:textId="77777777" w:rsidR="00D972C1" w:rsidRDefault="00D972C1" w:rsidP="00B66DBF">
      <w:pPr>
        <w:rPr>
          <w:rFonts w:ascii="Times New Roman" w:hAnsi="Times New Roman" w:cs="Times New Roman"/>
          <w:sz w:val="24"/>
          <w:szCs w:val="24"/>
        </w:rPr>
      </w:pPr>
    </w:p>
    <w:p w14:paraId="378621C5" w14:textId="77777777" w:rsidR="00D972C1" w:rsidRDefault="00D972C1" w:rsidP="00B66DBF">
      <w:pPr>
        <w:rPr>
          <w:rFonts w:ascii="Times New Roman" w:hAnsi="Times New Roman" w:cs="Times New Roman"/>
          <w:sz w:val="24"/>
          <w:szCs w:val="24"/>
        </w:rPr>
      </w:pPr>
    </w:p>
    <w:p w14:paraId="0241E835" w14:textId="77777777" w:rsidR="00D972C1" w:rsidRDefault="00D972C1" w:rsidP="00B66DBF">
      <w:pPr>
        <w:rPr>
          <w:rFonts w:ascii="Times New Roman" w:hAnsi="Times New Roman" w:cs="Times New Roman"/>
          <w:sz w:val="24"/>
          <w:szCs w:val="24"/>
        </w:rPr>
      </w:pPr>
    </w:p>
    <w:p w14:paraId="05F98B47" w14:textId="77777777" w:rsidR="00D972C1" w:rsidRDefault="00D972C1" w:rsidP="00B66DBF">
      <w:pPr>
        <w:rPr>
          <w:rFonts w:ascii="Times New Roman" w:hAnsi="Times New Roman" w:cs="Times New Roman"/>
          <w:sz w:val="24"/>
          <w:szCs w:val="24"/>
        </w:rPr>
      </w:pPr>
    </w:p>
    <w:p w14:paraId="0C731672" w14:textId="77777777" w:rsidR="00D972C1" w:rsidRDefault="00D972C1" w:rsidP="00B66DBF">
      <w:pPr>
        <w:rPr>
          <w:rFonts w:ascii="Times New Roman" w:hAnsi="Times New Roman" w:cs="Times New Roman"/>
          <w:sz w:val="24"/>
          <w:szCs w:val="24"/>
        </w:rPr>
      </w:pPr>
    </w:p>
    <w:p w14:paraId="0AE5CC80" w14:textId="77777777" w:rsidR="00D972C1" w:rsidRDefault="00D972C1" w:rsidP="00B66DBF">
      <w:pPr>
        <w:rPr>
          <w:rFonts w:ascii="Times New Roman" w:hAnsi="Times New Roman" w:cs="Times New Roman"/>
          <w:sz w:val="24"/>
          <w:szCs w:val="24"/>
        </w:rPr>
      </w:pPr>
    </w:p>
    <w:p w14:paraId="65634064" w14:textId="3630D846" w:rsidR="00594BC0" w:rsidRPr="00573554" w:rsidRDefault="00335B69" w:rsidP="00B66DBF">
      <w:pPr>
        <w:rPr>
          <w:rFonts w:ascii="Times New Roman" w:hAnsi="Times New Roman" w:cs="Times New Roman"/>
          <w:sz w:val="24"/>
          <w:szCs w:val="24"/>
          <w:u w:val="single"/>
        </w:rPr>
      </w:pPr>
      <w:r w:rsidRPr="00573554">
        <w:rPr>
          <w:rFonts w:ascii="Times New Roman" w:hAnsi="Times New Roman" w:cs="Times New Roman"/>
          <w:sz w:val="24"/>
          <w:szCs w:val="24"/>
          <w:u w:val="single"/>
        </w:rPr>
        <w:t>2</w:t>
      </w:r>
      <w:r w:rsidR="00A809EE" w:rsidRPr="00573554">
        <w:rPr>
          <w:rFonts w:ascii="Times New Roman" w:hAnsi="Times New Roman" w:cs="Times New Roman"/>
          <w:sz w:val="24"/>
          <w:szCs w:val="24"/>
          <w:u w:val="single"/>
        </w:rPr>
        <w:t>:</w:t>
      </w:r>
      <w:r w:rsidRPr="00573554">
        <w:rPr>
          <w:rFonts w:ascii="Times New Roman" w:hAnsi="Times New Roman" w:cs="Times New Roman"/>
          <w:sz w:val="24"/>
          <w:szCs w:val="24"/>
          <w:u w:val="single"/>
        </w:rPr>
        <w:t>00</w:t>
      </w:r>
      <w:r w:rsidR="003D5056" w:rsidRPr="00573554">
        <w:rPr>
          <w:rFonts w:ascii="Times New Roman" w:hAnsi="Times New Roman" w:cs="Times New Roman"/>
          <w:sz w:val="24"/>
          <w:szCs w:val="24"/>
          <w:u w:val="single"/>
        </w:rPr>
        <w:t xml:space="preserve"> – 2:</w:t>
      </w:r>
      <w:r w:rsidR="004D667F" w:rsidRPr="00573554">
        <w:rPr>
          <w:rFonts w:ascii="Times New Roman" w:hAnsi="Times New Roman" w:cs="Times New Roman"/>
          <w:sz w:val="24"/>
          <w:szCs w:val="24"/>
          <w:u w:val="single"/>
        </w:rPr>
        <w:t>2</w:t>
      </w:r>
      <w:r w:rsidR="00787FCE">
        <w:rPr>
          <w:rFonts w:ascii="Times New Roman" w:hAnsi="Times New Roman" w:cs="Times New Roman"/>
          <w:sz w:val="24"/>
          <w:szCs w:val="24"/>
          <w:u w:val="single"/>
        </w:rPr>
        <w:t>5</w:t>
      </w:r>
      <w:r w:rsidR="006C33F7" w:rsidRPr="00573554">
        <w:rPr>
          <w:rFonts w:ascii="Times New Roman" w:hAnsi="Times New Roman" w:cs="Times New Roman"/>
          <w:sz w:val="24"/>
          <w:szCs w:val="24"/>
          <w:u w:val="single"/>
        </w:rPr>
        <w:t xml:space="preserve"> Student Paper: Claire Coons, </w:t>
      </w:r>
      <w:r w:rsidR="00B66DBF" w:rsidRPr="00573554">
        <w:rPr>
          <w:rFonts w:ascii="Times New Roman" w:hAnsi="Times New Roman" w:cs="Times New Roman"/>
          <w:sz w:val="24"/>
          <w:szCs w:val="24"/>
          <w:u w:val="single"/>
        </w:rPr>
        <w:t xml:space="preserve">Millersville University of Pennsylvania </w:t>
      </w:r>
      <w:r w:rsidR="00594BC0" w:rsidRPr="00573554">
        <w:rPr>
          <w:rFonts w:ascii="Times New Roman" w:hAnsi="Times New Roman" w:cs="Times New Roman"/>
          <w:sz w:val="24"/>
          <w:szCs w:val="24"/>
          <w:u w:val="single"/>
        </w:rPr>
        <w:t xml:space="preserve"> </w:t>
      </w:r>
      <w:bookmarkEnd w:id="3"/>
    </w:p>
    <w:p w14:paraId="7ADC5611" w14:textId="77777777" w:rsidR="00D5134C" w:rsidRDefault="00D5134C" w:rsidP="005F5B8B">
      <w:pPr>
        <w:spacing w:after="0"/>
        <w:ind w:left="720"/>
        <w:rPr>
          <w:rFonts w:ascii="Times New Roman" w:hAnsi="Times New Roman" w:cs="Times New Roman"/>
          <w:sz w:val="24"/>
          <w:szCs w:val="24"/>
        </w:rPr>
      </w:pPr>
    </w:p>
    <w:p w14:paraId="0D55CF79" w14:textId="77777777" w:rsidR="00D5134C" w:rsidRDefault="00D5134C" w:rsidP="00D5134C">
      <w:pPr>
        <w:spacing w:line="360" w:lineRule="auto"/>
        <w:jc w:val="center"/>
        <w:rPr>
          <w:rFonts w:ascii="Times New Roman" w:hAnsi="Times New Roman" w:cs="Times New Roman"/>
          <w:b/>
          <w:bCs/>
          <w:sz w:val="28"/>
          <w:szCs w:val="28"/>
        </w:rPr>
      </w:pPr>
      <w:r w:rsidRPr="00624139">
        <w:rPr>
          <w:rFonts w:ascii="Times New Roman" w:hAnsi="Times New Roman" w:cs="Times New Roman"/>
          <w:b/>
          <w:bCs/>
          <w:sz w:val="28"/>
          <w:szCs w:val="28"/>
        </w:rPr>
        <w:t xml:space="preserve">Medical Malpractice: Legal, </w:t>
      </w:r>
      <w:r>
        <w:rPr>
          <w:rFonts w:ascii="Times New Roman" w:hAnsi="Times New Roman" w:cs="Times New Roman"/>
          <w:b/>
          <w:bCs/>
          <w:sz w:val="28"/>
          <w:szCs w:val="28"/>
        </w:rPr>
        <w:t xml:space="preserve">Insurance, </w:t>
      </w:r>
      <w:r w:rsidRPr="00624139">
        <w:rPr>
          <w:rFonts w:ascii="Times New Roman" w:hAnsi="Times New Roman" w:cs="Times New Roman"/>
          <w:b/>
          <w:bCs/>
          <w:sz w:val="28"/>
          <w:szCs w:val="28"/>
        </w:rPr>
        <w:t>and Ethical Implications</w:t>
      </w:r>
      <w:r>
        <w:rPr>
          <w:rFonts w:ascii="Times New Roman" w:hAnsi="Times New Roman" w:cs="Times New Roman"/>
          <w:b/>
          <w:bCs/>
          <w:sz w:val="28"/>
          <w:szCs w:val="28"/>
        </w:rPr>
        <w:t xml:space="preserve">.  </w:t>
      </w:r>
    </w:p>
    <w:p w14:paraId="300506DC" w14:textId="77777777" w:rsidR="00D5134C" w:rsidRDefault="00D5134C" w:rsidP="00D5134C">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Inspired by a True Story. </w:t>
      </w:r>
    </w:p>
    <w:p w14:paraId="7D032F91" w14:textId="77777777" w:rsidR="00D5134C" w:rsidRDefault="00D5134C" w:rsidP="00D5134C">
      <w:pPr>
        <w:spacing w:line="360" w:lineRule="auto"/>
        <w:jc w:val="center"/>
        <w:rPr>
          <w:rFonts w:ascii="Times New Roman" w:eastAsia="Times New Roman" w:hAnsi="Times New Roman" w:cs="Times New Roman"/>
        </w:rPr>
      </w:pPr>
      <w:r w:rsidRPr="485E3F44">
        <w:rPr>
          <w:rFonts w:ascii="Times New Roman" w:eastAsia="Times New Roman" w:hAnsi="Times New Roman" w:cs="Times New Roman"/>
          <w:i/>
          <w:iCs/>
        </w:rPr>
        <w:t xml:space="preserve">Claire Coons, </w:t>
      </w:r>
      <w:r w:rsidRPr="485E3F44">
        <w:rPr>
          <w:rFonts w:ascii="Times New Roman" w:eastAsia="Times New Roman" w:hAnsi="Times New Roman" w:cs="Times New Roman"/>
        </w:rPr>
        <w:t xml:space="preserve">Millersville University of Pennsylvania </w:t>
      </w:r>
    </w:p>
    <w:p w14:paraId="7E44CABA" w14:textId="77777777" w:rsidR="00D5134C" w:rsidRDefault="00D5134C" w:rsidP="00D5134C">
      <w:pPr>
        <w:spacing w:line="360" w:lineRule="auto"/>
        <w:jc w:val="center"/>
        <w:rPr>
          <w:rFonts w:ascii="Times New Roman" w:eastAsia="Times New Roman" w:hAnsi="Times New Roman" w:cs="Times New Roman"/>
        </w:rPr>
      </w:pPr>
      <w:r w:rsidRPr="485E3F44">
        <w:rPr>
          <w:rFonts w:ascii="Times New Roman" w:eastAsia="Times New Roman" w:hAnsi="Times New Roman" w:cs="Times New Roman"/>
        </w:rPr>
        <w:t xml:space="preserve">Lombardo College of Business </w:t>
      </w:r>
    </w:p>
    <w:p w14:paraId="302247EB" w14:textId="77777777" w:rsidR="00D5134C" w:rsidRDefault="00D5134C" w:rsidP="00D5134C">
      <w:pPr>
        <w:spacing w:line="360" w:lineRule="auto"/>
        <w:jc w:val="center"/>
        <w:rPr>
          <w:rFonts w:ascii="Times New Roman" w:eastAsia="Times New Roman" w:hAnsi="Times New Roman" w:cs="Times New Roman"/>
        </w:rPr>
      </w:pPr>
      <w:r w:rsidRPr="485E3F44">
        <w:rPr>
          <w:rFonts w:ascii="Times New Roman" w:eastAsia="Times New Roman" w:hAnsi="Times New Roman" w:cs="Times New Roman"/>
        </w:rPr>
        <w:t>Department of Accounting and Finance</w:t>
      </w:r>
    </w:p>
    <w:p w14:paraId="2E2DD013" w14:textId="77777777" w:rsidR="00D5134C" w:rsidRDefault="00D5134C" w:rsidP="00D5134C">
      <w:pPr>
        <w:spacing w:line="360" w:lineRule="auto"/>
        <w:jc w:val="center"/>
        <w:rPr>
          <w:rFonts w:ascii="Times New Roman" w:eastAsia="Times New Roman" w:hAnsi="Times New Roman" w:cs="Times New Roman"/>
        </w:rPr>
      </w:pPr>
      <w:r w:rsidRPr="485E3F44">
        <w:rPr>
          <w:rFonts w:ascii="Times New Roman" w:eastAsia="Times New Roman" w:hAnsi="Times New Roman" w:cs="Times New Roman"/>
        </w:rPr>
        <w:t xml:space="preserve">40 Dilworth Rd, Millersville, PA 17551 </w:t>
      </w:r>
    </w:p>
    <w:p w14:paraId="1114F8B3" w14:textId="0FB44CB7" w:rsidR="00D972C1" w:rsidRDefault="00D972C1" w:rsidP="00D972C1">
      <w:pPr>
        <w:spacing w:line="360" w:lineRule="auto"/>
        <w:jc w:val="center"/>
        <w:rPr>
          <w:rFonts w:ascii="Times New Roman" w:eastAsia="Times New Roman" w:hAnsi="Times New Roman" w:cs="Times New Roman"/>
        </w:rPr>
      </w:pPr>
      <w:hyperlink r:id="rId15" w:history="1">
        <w:r w:rsidRPr="001D103A">
          <w:rPr>
            <w:rStyle w:val="Hyperlink"/>
            <w:rFonts w:ascii="Times New Roman" w:eastAsia="Times New Roman" w:hAnsi="Times New Roman" w:cs="Times New Roman"/>
          </w:rPr>
          <w:t>cmcoons@millersville.edu</w:t>
        </w:r>
      </w:hyperlink>
    </w:p>
    <w:p w14:paraId="0353F7D0" w14:textId="1822FB72" w:rsidR="00D5134C" w:rsidRDefault="00D5134C" w:rsidP="00D972C1">
      <w:pPr>
        <w:spacing w:line="360" w:lineRule="auto"/>
        <w:jc w:val="center"/>
        <w:rPr>
          <w:rFonts w:ascii="Times New Roman" w:hAnsi="Times New Roman" w:cs="Times New Roman"/>
          <w:b/>
          <w:bCs/>
        </w:rPr>
      </w:pPr>
      <w:r>
        <w:rPr>
          <w:rFonts w:ascii="Times New Roman" w:hAnsi="Times New Roman" w:cs="Times New Roman"/>
          <w:b/>
          <w:bCs/>
        </w:rPr>
        <w:t>Abstract</w:t>
      </w:r>
    </w:p>
    <w:p w14:paraId="47568702" w14:textId="77777777" w:rsidR="00D5134C" w:rsidRDefault="00D5134C" w:rsidP="00D5134C">
      <w:pPr>
        <w:spacing w:line="360" w:lineRule="auto"/>
        <w:rPr>
          <w:rFonts w:ascii="Times New Roman" w:hAnsi="Times New Roman" w:cs="Times New Roman"/>
        </w:rPr>
      </w:pPr>
      <w:r>
        <w:rPr>
          <w:rFonts w:ascii="Times New Roman" w:hAnsi="Times New Roman" w:cs="Times New Roman"/>
        </w:rPr>
        <w:t xml:space="preserve">Medical malpractice, sometimes referred to as medical negligence, occurs when a healthcare provider deviates from the accepted standards of treatment for a patient, leading to injury or sometimes death. Often, this form of negligence will cause injuries that a patient will deal with for the rest of their life. Severe cases of medical malpractice can lead to death. Medical malpractice drastically impacts a patient’s life, including legal, insurance, and ethical implications. This paper was inspired by a true story that I experienced in the latter of 2024. My research includes a brief history, authority of the individual states, the legal elements, insurance coverage and tax considerations, types of insurance policies, ethical concerns, and a case study. </w:t>
      </w:r>
    </w:p>
    <w:p w14:paraId="5D862427" w14:textId="77777777" w:rsidR="00D5134C" w:rsidRDefault="00D5134C" w:rsidP="00D5134C">
      <w:pPr>
        <w:spacing w:line="360" w:lineRule="auto"/>
        <w:rPr>
          <w:rFonts w:ascii="Times New Roman" w:hAnsi="Times New Roman" w:cs="Times New Roman"/>
        </w:rPr>
      </w:pPr>
    </w:p>
    <w:p w14:paraId="7E25E77F" w14:textId="77777777" w:rsidR="00D5134C" w:rsidRDefault="00D5134C" w:rsidP="00D5134C">
      <w:pPr>
        <w:spacing w:line="360" w:lineRule="auto"/>
        <w:rPr>
          <w:rFonts w:ascii="Times New Roman" w:hAnsi="Times New Roman" w:cs="Times New Roman"/>
          <w:b/>
          <w:bCs/>
        </w:rPr>
      </w:pPr>
      <w:r>
        <w:rPr>
          <w:rFonts w:ascii="Times New Roman" w:hAnsi="Times New Roman" w:cs="Times New Roman"/>
          <w:b/>
          <w:bCs/>
        </w:rPr>
        <w:t xml:space="preserve">Introduction </w:t>
      </w:r>
    </w:p>
    <w:p w14:paraId="0F2EF298" w14:textId="77777777" w:rsidR="00D5134C" w:rsidRDefault="00D5134C" w:rsidP="00D5134C">
      <w:pPr>
        <w:spacing w:line="360" w:lineRule="auto"/>
        <w:rPr>
          <w:rFonts w:ascii="Times New Roman" w:hAnsi="Times New Roman" w:cs="Times New Roman"/>
        </w:rPr>
      </w:pPr>
      <w:r>
        <w:rPr>
          <w:rFonts w:ascii="Times New Roman" w:hAnsi="Times New Roman" w:cs="Times New Roman"/>
        </w:rPr>
        <w:t xml:space="preserve">On September 1, 2024, I went to Urgent Care for a persistent fever as well as a cough. After expending a Nebulizer breathing treatment, the physician’s assistant decided that I should receive chest x-rays, as the treatment did improve the quality of my breathing. Approximately 30 minutes after receiving my chest x-rays and leaving the facility, I receive a call from the Urgent Care informing me of their pneumonia diagnosis and directing me to pick up my prescribed antibiotics. However, two weeks later, on Friday September 13, I checked into the Emergency Room for severe chest pains that prevented me from laying down or even inhaling a full breath of air. Approximately seven hours later, I was admitted to the hospital for a heavy burden of pulmonary emboli (blood clots in arteries of the lungs), a condition that is both serious and life-threatening. My diagnosis also included “a mass” in my left lung. While in the hospital, I was further diagnosed with deep vein thrombosis (a blood clot in the lower extremity). It was also </w:t>
      </w:r>
      <w:r>
        <w:rPr>
          <w:rFonts w:ascii="Times New Roman" w:hAnsi="Times New Roman" w:cs="Times New Roman"/>
        </w:rPr>
        <w:lastRenderedPageBreak/>
        <w:t xml:space="preserve">determined that the “mass” that was identified after my computed tomography (CT) scan in the Emergency Room was in fact a large area of infarcted tissue (dead tissue due to a lack of blood supply). Following that day, I experienced secondary complications including pleural effusion (fluid in the space between the lungs and chest wall) and atelectasis (areas of collapsed lung). </w:t>
      </w:r>
    </w:p>
    <w:p w14:paraId="171D63A6" w14:textId="77777777" w:rsidR="00D5134C" w:rsidRDefault="00D5134C" w:rsidP="00D5134C">
      <w:pPr>
        <w:spacing w:line="360" w:lineRule="auto"/>
        <w:rPr>
          <w:rFonts w:ascii="Times New Roman" w:hAnsi="Times New Roman" w:cs="Times New Roman"/>
        </w:rPr>
      </w:pPr>
    </w:p>
    <w:p w14:paraId="5D849425" w14:textId="77777777" w:rsidR="00D5134C" w:rsidRPr="009C6104" w:rsidRDefault="00D5134C" w:rsidP="00D5134C">
      <w:pPr>
        <w:spacing w:line="360" w:lineRule="auto"/>
        <w:rPr>
          <w:rFonts w:ascii="Times New Roman" w:hAnsi="Times New Roman" w:cs="Times New Roman"/>
        </w:rPr>
      </w:pPr>
      <w:r>
        <w:rPr>
          <w:rFonts w:ascii="Times New Roman" w:hAnsi="Times New Roman" w:cs="Times New Roman"/>
        </w:rPr>
        <w:t>Nevertheless, the area previously identified as pneumonia on my chest x-ray at the Urgent Care was likely a misdiagnosis for what the hospital described as “a mass” in my left lung due to the lack of blood flow. One doctor told me that the infarcted tissue may leave a scar for the rest of my life. Another doctor told me that there was a 1 in 2,000 (0.05%) chance of this happening to me. Despite the odds, I still spent the next six months of my life on blood thinners. Ironically, the “mass” that was noted in the Emergency Room was the same area that was identified as pneumonia nearly two weeks prior. Did I really have pneumonia or was the healthcare provider that read my x-ray too busy to further examine my diagnosis? How much of a difference did the two weeks between Urgent Care and the Emergency Room make? Did I need to be on blood thinners for half of a year while experiencing an extremely limited lung capacity? These are just a few of the questions that have ran rapid through my mind since that Friday in September of 2024. After all, my firsthand experience with a potential medical malpractice has inspired me to research the implications of this topic. Oh yeah, did I even have pneumonia?</w:t>
      </w:r>
    </w:p>
    <w:p w14:paraId="42343C2A" w14:textId="77777777" w:rsidR="00D5134C" w:rsidRDefault="00D5134C" w:rsidP="00D5134C">
      <w:pPr>
        <w:spacing w:line="360" w:lineRule="auto"/>
        <w:rPr>
          <w:rFonts w:ascii="Times New Roman" w:hAnsi="Times New Roman" w:cs="Times New Roman"/>
          <w:b/>
          <w:bCs/>
        </w:rPr>
      </w:pPr>
    </w:p>
    <w:p w14:paraId="68F4E03C" w14:textId="77777777" w:rsidR="00D5134C" w:rsidRDefault="00D5134C" w:rsidP="00D5134C">
      <w:pPr>
        <w:spacing w:line="360" w:lineRule="auto"/>
        <w:rPr>
          <w:rFonts w:ascii="Times New Roman" w:hAnsi="Times New Roman" w:cs="Times New Roman"/>
          <w:b/>
          <w:bCs/>
        </w:rPr>
      </w:pPr>
      <w:r>
        <w:rPr>
          <w:rFonts w:ascii="Times New Roman" w:hAnsi="Times New Roman" w:cs="Times New Roman"/>
          <w:b/>
          <w:bCs/>
        </w:rPr>
        <w:t>A Brief History</w:t>
      </w:r>
    </w:p>
    <w:p w14:paraId="154B5ADB" w14:textId="77777777" w:rsidR="00D5134C" w:rsidRDefault="00D5134C" w:rsidP="00D5134C">
      <w:pPr>
        <w:spacing w:line="360" w:lineRule="auto"/>
        <w:rPr>
          <w:rFonts w:ascii="Times New Roman" w:hAnsi="Times New Roman" w:cs="Times New Roman"/>
        </w:rPr>
      </w:pPr>
      <w:r>
        <w:rPr>
          <w:rFonts w:ascii="Times New Roman" w:hAnsi="Times New Roman" w:cs="Times New Roman"/>
        </w:rPr>
        <w:t xml:space="preserve">It is no surprise that anyone who enters a profession must exercise reasonable care. Medical malpractice and its associated legal responsibilities are topics that date back to the Roman Times. The Code of Hammurabi in 2030 BCE recognized that medical malpractice was wrong, reading, </w:t>
      </w:r>
      <w:r w:rsidRPr="00DE5B3F">
        <w:rPr>
          <w:rFonts w:ascii="Times New Roman" w:hAnsi="Times New Roman" w:cs="Times New Roman"/>
        </w:rPr>
        <w:t>“If the doctor has treated a gentlemen with a lancet of bronze and has caused the gentleman to die, or has opened an abscess of the eye for a gentleman with a bronze lancet, and has caused the loss of the gentleman’s eye, one shall cut off his hands</w:t>
      </w:r>
      <w:r>
        <w:rPr>
          <w:rFonts w:ascii="Times New Roman" w:hAnsi="Times New Roman" w:cs="Times New Roman"/>
        </w:rPr>
        <w:t>” (</w:t>
      </w:r>
      <w:r w:rsidRPr="0008263D">
        <w:rPr>
          <w:rFonts w:ascii="Times New Roman" w:hAnsi="Times New Roman" w:cs="Times New Roman"/>
        </w:rPr>
        <w:t>Gilman &amp; Bedigian</w:t>
      </w:r>
      <w:r>
        <w:rPr>
          <w:rFonts w:ascii="Times New Roman" w:hAnsi="Times New Roman" w:cs="Times New Roman"/>
        </w:rPr>
        <w:t>, 2021). The Code explained that the doctor should be punished if said doctor makes a mistake which causes harm during surgery. Through the years, the Hippocratic Oath, attributed to the father of Western medicine, Hippocrates, states “Do no harm.”  Even in modern day, many countries consider this oath to be relevant in their practice of medicine (</w:t>
      </w:r>
      <w:r w:rsidRPr="00BF4073">
        <w:rPr>
          <w:rFonts w:ascii="Times New Roman" w:hAnsi="Times New Roman" w:cs="Times New Roman"/>
        </w:rPr>
        <w:t>Weiss &amp; Paarz</w:t>
      </w:r>
      <w:r>
        <w:rPr>
          <w:rFonts w:ascii="Times New Roman" w:hAnsi="Times New Roman" w:cs="Times New Roman"/>
        </w:rPr>
        <w:t>, n.d.).  The concept of medical malpractice was introduced to Europe around 1200 CE. Sir William Blackstone initiated the term “mala praxis” in 1768. According to “A History of Medical Malpractice in the United States,” in Blackstone’s words, mala praxis “</w:t>
      </w:r>
      <w:r w:rsidRPr="00AC1345">
        <w:rPr>
          <w:rFonts w:ascii="Times New Roman" w:hAnsi="Times New Roman" w:cs="Times New Roman"/>
        </w:rPr>
        <w:t xml:space="preserve">breaks the trust which the party had placed in his physician, </w:t>
      </w:r>
      <w:r w:rsidRPr="00AC1345">
        <w:rPr>
          <w:rFonts w:ascii="Times New Roman" w:hAnsi="Times New Roman" w:cs="Times New Roman"/>
        </w:rPr>
        <w:lastRenderedPageBreak/>
        <w:t>and tends to the patient’s destruction</w:t>
      </w:r>
      <w:r>
        <w:rPr>
          <w:rFonts w:ascii="Times New Roman" w:hAnsi="Times New Roman" w:cs="Times New Roman"/>
        </w:rPr>
        <w:t>” (</w:t>
      </w:r>
      <w:r w:rsidRPr="0008263D">
        <w:rPr>
          <w:rFonts w:ascii="Times New Roman" w:hAnsi="Times New Roman" w:cs="Times New Roman"/>
        </w:rPr>
        <w:t>Gilman &amp; Bedigian</w:t>
      </w:r>
      <w:r>
        <w:rPr>
          <w:rFonts w:ascii="Times New Roman" w:hAnsi="Times New Roman" w:cs="Times New Roman"/>
        </w:rPr>
        <w:t xml:space="preserve">, 2021).  Derived from Blackstone’s work, the term medical malpractice became commonly used thereafter. </w:t>
      </w:r>
    </w:p>
    <w:p w14:paraId="06E93D1B" w14:textId="77777777" w:rsidR="00D5134C" w:rsidRDefault="00D5134C" w:rsidP="00D5134C">
      <w:pPr>
        <w:spacing w:line="360" w:lineRule="auto"/>
        <w:rPr>
          <w:rFonts w:ascii="Times New Roman" w:hAnsi="Times New Roman" w:cs="Times New Roman"/>
        </w:rPr>
      </w:pPr>
    </w:p>
    <w:p w14:paraId="3CD9FB77" w14:textId="77777777" w:rsidR="00D5134C" w:rsidRDefault="00D5134C" w:rsidP="00D5134C">
      <w:pPr>
        <w:spacing w:line="360" w:lineRule="auto"/>
        <w:rPr>
          <w:rFonts w:ascii="Times New Roman" w:hAnsi="Times New Roman" w:cs="Times New Roman"/>
        </w:rPr>
      </w:pPr>
      <w:r>
        <w:rPr>
          <w:rFonts w:ascii="Times New Roman" w:hAnsi="Times New Roman" w:cs="Times New Roman"/>
        </w:rPr>
        <w:t>A few centuries later and only four years after George Washington’s inauguration, the United States saw its first case of medical malpractice. Since this case in 1794, The American Medical Association was founded in 1847. According to American Medical Association, “</w:t>
      </w:r>
      <w:r w:rsidRPr="0099025D">
        <w:rPr>
          <w:rFonts w:ascii="Times New Roman" w:hAnsi="Times New Roman" w:cs="Times New Roman"/>
        </w:rPr>
        <w:t>Throughout history, the AMA has always followed its mission: to promote the art and science of medicine and the betterment of public health.</w:t>
      </w:r>
      <w:r>
        <w:rPr>
          <w:rFonts w:ascii="Times New Roman" w:hAnsi="Times New Roman" w:cs="Times New Roman"/>
        </w:rPr>
        <w:t xml:space="preserve"> </w:t>
      </w:r>
      <w:r w:rsidRPr="0099025D">
        <w:rPr>
          <w:rFonts w:ascii="Times New Roman" w:hAnsi="Times New Roman" w:cs="Times New Roman"/>
        </w:rPr>
        <w:t>As the physicians’ powerful ally in patient care, the AMA delivers on this mission by representing physicians with a unified voice in courts and legislative bodies across the nation, removing obstacles that interfere with patient care, leading the charge to prevent chronic disease and confront public health crises, and driving the future of medicine to tackle the biggest challenges in health care and training the leaders of tomorrow</w:t>
      </w:r>
      <w:r>
        <w:rPr>
          <w:rFonts w:ascii="Times New Roman" w:hAnsi="Times New Roman" w:cs="Times New Roman"/>
        </w:rPr>
        <w:t>” (n.d.).  Throughout the 19</w:t>
      </w:r>
      <w:r w:rsidRPr="000A7CB9">
        <w:rPr>
          <w:rFonts w:ascii="Times New Roman" w:hAnsi="Times New Roman" w:cs="Times New Roman"/>
          <w:vertAlign w:val="superscript"/>
        </w:rPr>
        <w:t>th</w:t>
      </w:r>
      <w:r>
        <w:rPr>
          <w:rFonts w:ascii="Times New Roman" w:hAnsi="Times New Roman" w:cs="Times New Roman"/>
        </w:rPr>
        <w:t xml:space="preserve"> century, the United States saw a significant increase in cases of medical malpractice. In the 1970s, courts began publishing standards for medical malpractice awards.  Such legislation led many states to pass their own laws relating to medical malpractice and its associated legal responsibilities (</w:t>
      </w:r>
      <w:r w:rsidRPr="00BF4073">
        <w:rPr>
          <w:rFonts w:ascii="Times New Roman" w:hAnsi="Times New Roman" w:cs="Times New Roman"/>
        </w:rPr>
        <w:t>Weiss &amp; Paarz</w:t>
      </w:r>
      <w:r>
        <w:rPr>
          <w:rFonts w:ascii="Times New Roman" w:hAnsi="Times New Roman" w:cs="Times New Roman"/>
        </w:rPr>
        <w:t>, n.d.).</w:t>
      </w:r>
    </w:p>
    <w:p w14:paraId="1190E916" w14:textId="77777777" w:rsidR="00D5134C" w:rsidRPr="006702ED" w:rsidRDefault="00D5134C" w:rsidP="00D5134C">
      <w:pPr>
        <w:spacing w:line="360" w:lineRule="auto"/>
        <w:rPr>
          <w:rFonts w:ascii="Times New Roman" w:hAnsi="Times New Roman" w:cs="Times New Roman"/>
        </w:rPr>
      </w:pPr>
    </w:p>
    <w:p w14:paraId="7F4AB732" w14:textId="77777777" w:rsidR="00D5134C" w:rsidRDefault="00D5134C" w:rsidP="00D5134C">
      <w:pPr>
        <w:spacing w:line="360" w:lineRule="auto"/>
        <w:rPr>
          <w:rFonts w:ascii="Times New Roman" w:hAnsi="Times New Roman" w:cs="Times New Roman"/>
          <w:b/>
          <w:bCs/>
        </w:rPr>
      </w:pPr>
      <w:r>
        <w:rPr>
          <w:rFonts w:ascii="Times New Roman" w:hAnsi="Times New Roman" w:cs="Times New Roman"/>
          <w:b/>
          <w:bCs/>
        </w:rPr>
        <w:t xml:space="preserve">Authority of the Individual States </w:t>
      </w:r>
    </w:p>
    <w:p w14:paraId="706300EE" w14:textId="77777777" w:rsidR="00D5134C" w:rsidRDefault="00D5134C" w:rsidP="00D5134C">
      <w:pPr>
        <w:spacing w:line="360" w:lineRule="auto"/>
        <w:rPr>
          <w:rFonts w:ascii="Times New Roman" w:hAnsi="Times New Roman" w:cs="Times New Roman"/>
        </w:rPr>
      </w:pPr>
      <w:r>
        <w:rPr>
          <w:rFonts w:ascii="Times New Roman" w:hAnsi="Times New Roman" w:cs="Times New Roman"/>
        </w:rPr>
        <w:t>Medical malpractice in the United States was derived from English common law and further developed by rulings in state courts. Unlike many other countries, the United States treats medical malpractice law under the authority of the individual states rather than the federal government. This is because its framework has been established through decisions of lawsuits filed in state courts. Although jurisdiction may vary across different states, the principles reflect similarities. “An Introduction to Medical Malpractice in the United States” states, “</w:t>
      </w:r>
      <w:r w:rsidRPr="00A15DFC">
        <w:rPr>
          <w:rFonts w:ascii="Times New Roman" w:hAnsi="Times New Roman" w:cs="Times New Roman"/>
        </w:rPr>
        <w:t>In addition, during the last 30 years, statutes passed by states’ legislatures have further influenced the governing principles of medical malpractice law. Thus, medical malpractice law in the United States is based on common law, modified by state legislative actions that vary from state to state</w:t>
      </w:r>
      <w:r>
        <w:rPr>
          <w:rFonts w:ascii="Times New Roman" w:hAnsi="Times New Roman" w:cs="Times New Roman"/>
        </w:rPr>
        <w:t xml:space="preserve">” (Bal, 2009).  Although legislative actions may vary from state to state, the pattern of hierarchy remains the same. Each of the 50 states contain trial courts where disputes are filed, including lawsuits of medical malpractice. State trial courts have the jurisdiction, the legal authority to decide a case, over those of medical malpractice. Typically, a system of appeals courts will follow, with final authority resting in the supreme court of the state. In rare cases, such as one that questions the federal constitution, a medical malpractice case may be moved to a federal court (Bal, 2009).  Like many other cases, medical malpractice cases include a statute of limitations, which limits the amount of time </w:t>
      </w:r>
      <w:r>
        <w:rPr>
          <w:rFonts w:ascii="Times New Roman" w:hAnsi="Times New Roman" w:cs="Times New Roman"/>
        </w:rPr>
        <w:lastRenderedPageBreak/>
        <w:t xml:space="preserve">that can pass before legal action is initiated for an offense. According to “Medical Malpractice Statute of Limitations by State” written by Kenneth Sigelman, each of the 50 states adheres to its own statute of limitations, falling between one and five years, barring special exceptions. For example, the state of California may make an exception to extend the statute of limitations for circumstances such as fraud committed by the healthcare provider. (2024).  </w:t>
      </w:r>
    </w:p>
    <w:p w14:paraId="2127AFC3" w14:textId="77777777" w:rsidR="00D5134C" w:rsidRDefault="00D5134C" w:rsidP="00D5134C">
      <w:pPr>
        <w:spacing w:line="360" w:lineRule="auto"/>
        <w:rPr>
          <w:rFonts w:ascii="Times New Roman" w:hAnsi="Times New Roman" w:cs="Times New Roman"/>
        </w:rPr>
      </w:pPr>
    </w:p>
    <w:p w14:paraId="0A8E84B7" w14:textId="77777777" w:rsidR="00D5134C" w:rsidRDefault="00D5134C" w:rsidP="00D5134C">
      <w:pPr>
        <w:spacing w:line="360" w:lineRule="auto"/>
        <w:rPr>
          <w:color w:val="000000" w:themeColor="text1"/>
        </w:rPr>
      </w:pPr>
      <w:r>
        <w:rPr>
          <w:rFonts w:ascii="Times New Roman" w:hAnsi="Times New Roman" w:cs="Times New Roman"/>
        </w:rPr>
        <w:t xml:space="preserve">Many states have passed legislation that places a limit on the amount of money that the plaintiff of a medical malpractice case may receive for a successful lawsuit. Under the law, “damages” refers to the harm suffered by one person as a result of another person’s wrongdoing. According to David Goguen at the University of San Francisco School of Law, “In the context of a medical malpractice claim, an injured patient’s damages often include: the cost of additional medical care necessary in the wake of the health care provider’s medical error; time missed at work, lost wages, and other income-related losses resulting from the malpractice and its effects, and; the injured patient’s mental and physical ‘pain and suffering’ resulting from the malpractice and its impact on the patient’s life” (2023).  States that have placed a statutory cap on medical </w:t>
      </w:r>
      <w:r w:rsidRPr="007B0891">
        <w:rPr>
          <w:rFonts w:ascii="Times New Roman" w:hAnsi="Times New Roman" w:cs="Times New Roman"/>
          <w:color w:val="000000" w:themeColor="text1"/>
        </w:rPr>
        <w:t xml:space="preserve">malpractice damages include: </w:t>
      </w:r>
      <w:r>
        <w:rPr>
          <w:rFonts w:ascii="Times New Roman" w:hAnsi="Times New Roman" w:cs="Times New Roman"/>
          <w:color w:val="000000" w:themeColor="text1"/>
        </w:rPr>
        <w:t xml:space="preserve">Alaska, California, Colorado, Florida, Georgia, Hawaii, Idaho, Illinois, Indiana, Kansas, Louisiana, Maine, Maryland, Massachusetts, Mississippi, Missouri, Montana, Nebraska, Nevada, New Jersey, New Mexico, North Carolina, North Dakota, Ohio, Oklahoma, Oregon, South Carolina, South Dakota, Texas, Utah, Virginia, West Virginia, and Wisconsin (Goguen, 2023). </w:t>
      </w:r>
    </w:p>
    <w:p w14:paraId="18860ECA" w14:textId="77777777" w:rsidR="00D5134C" w:rsidRPr="00981A7C" w:rsidRDefault="00D5134C" w:rsidP="00D5134C">
      <w:pPr>
        <w:spacing w:line="360" w:lineRule="auto"/>
        <w:rPr>
          <w:color w:val="000000" w:themeColor="text1"/>
        </w:rPr>
      </w:pPr>
    </w:p>
    <w:p w14:paraId="69F21899" w14:textId="77777777" w:rsidR="00D5134C" w:rsidRDefault="00D5134C" w:rsidP="00D5134C">
      <w:pPr>
        <w:spacing w:line="360" w:lineRule="auto"/>
        <w:rPr>
          <w:rFonts w:ascii="Times New Roman" w:hAnsi="Times New Roman" w:cs="Times New Roman"/>
          <w:b/>
          <w:bCs/>
        </w:rPr>
      </w:pPr>
      <w:r>
        <w:rPr>
          <w:rFonts w:ascii="Times New Roman" w:hAnsi="Times New Roman" w:cs="Times New Roman"/>
          <w:b/>
          <w:bCs/>
        </w:rPr>
        <w:t xml:space="preserve">The Legal Elements </w:t>
      </w:r>
    </w:p>
    <w:p w14:paraId="07A68EC9" w14:textId="77777777" w:rsidR="00D5134C" w:rsidRDefault="00D5134C" w:rsidP="00D5134C">
      <w:pPr>
        <w:spacing w:line="360" w:lineRule="auto"/>
        <w:rPr>
          <w:rFonts w:ascii="Times New Roman" w:hAnsi="Times New Roman" w:cs="Times New Roman"/>
        </w:rPr>
      </w:pPr>
      <w:r>
        <w:rPr>
          <w:rFonts w:ascii="Times New Roman" w:hAnsi="Times New Roman" w:cs="Times New Roman"/>
        </w:rPr>
        <w:t>In a medical malpractice case, the plaintiff is a patient who initiates a lawsuit against the defendant, who is a physician, hospital, medical facility, etc.  The medical malpractice lawsuit is initiated by filing legal documents known as pleadings. For a lawsuit to proceed as a medical malpractice case, four legal elements must be proven.  According to an article published with the National Library of Medicine, “</w:t>
      </w:r>
      <w:r w:rsidRPr="00383D34">
        <w:rPr>
          <w:rFonts w:ascii="Times New Roman" w:hAnsi="Times New Roman" w:cs="Times New Roman"/>
        </w:rPr>
        <w:t>In the United States, the patient alleging medical malpractice must generally prove four elements or legal requirements to make out a successful claim of medical malpractice [</w:t>
      </w:r>
      <w:r>
        <w:rPr>
          <w:rFonts w:ascii="Times New Roman" w:hAnsi="Times New Roman" w:cs="Times New Roman"/>
        </w:rPr>
        <w:t xml:space="preserve">6]. </w:t>
      </w:r>
      <w:r w:rsidRPr="00383D34">
        <w:rPr>
          <w:rFonts w:ascii="Times New Roman" w:hAnsi="Times New Roman" w:cs="Times New Roman"/>
        </w:rPr>
        <w:t>These elements include: (1) the existence of a legal duty on the part of the doctor to provide care or treatment to the patient; (2) a breach of this duty by a failure of the treating doctor to adhere to the standards of the profession; (3) a causal relationship between such breach of duty and injury to the patient; and (4) the existence of damages that flow from the injury such that the legal system can provide redress</w:t>
      </w:r>
      <w:r>
        <w:rPr>
          <w:rFonts w:ascii="Times New Roman" w:hAnsi="Times New Roman" w:cs="Times New Roman"/>
        </w:rPr>
        <w:t xml:space="preserve">” (Bal, 2009).  If just one of these elements is not met, there is no established case of medical malpractice. </w:t>
      </w:r>
    </w:p>
    <w:p w14:paraId="1BC06966" w14:textId="77777777" w:rsidR="00D5134C" w:rsidRDefault="00D5134C" w:rsidP="00D5134C">
      <w:pPr>
        <w:spacing w:line="360" w:lineRule="auto"/>
        <w:rPr>
          <w:rFonts w:ascii="Times New Roman" w:hAnsi="Times New Roman" w:cs="Times New Roman"/>
        </w:rPr>
      </w:pPr>
    </w:p>
    <w:p w14:paraId="3F982042" w14:textId="77777777" w:rsidR="00D5134C" w:rsidRPr="00CD6795" w:rsidRDefault="00D5134C" w:rsidP="00D5134C">
      <w:pPr>
        <w:spacing w:line="360" w:lineRule="auto"/>
        <w:rPr>
          <w:rFonts w:ascii="Times New Roman" w:hAnsi="Times New Roman" w:cs="Times New Roman"/>
        </w:rPr>
      </w:pPr>
      <w:r>
        <w:rPr>
          <w:rFonts w:ascii="Times New Roman" w:hAnsi="Times New Roman" w:cs="Times New Roman"/>
        </w:rPr>
        <w:t xml:space="preserve">The first element describes that a professional relationship is established between the patient and provider. This is the easiest element to be identified, as it is assumed when a provider undertakes the care of a patient. The second element considers a breach of duty, where the patient must consider the “standard of care.”  This element emphasizes the importance of expert witness testimony, as a jury will not comprehend the refinements of medical care. In some cases, this testimony is not needed because of the heinous nature of the breach. When the breach of duty is obvious, the jury will advance to the determination of damages. The third element can be defined as causation.  Bal describes, </w:t>
      </w:r>
      <w:r w:rsidRPr="00887225">
        <w:rPr>
          <w:rFonts w:ascii="Times New Roman" w:hAnsi="Times New Roman" w:cs="Times New Roman"/>
        </w:rPr>
        <w:t>“To prove this element, the injured plaintiff must show a direct relationship between the alleged misconduct and a subsequent injury. Alternatively, the patient can show a legally sufficient relationship between the breach of duty and the injury; this concept is referred to as proximate causation</w:t>
      </w:r>
      <w:r>
        <w:rPr>
          <w:rFonts w:ascii="Times New Roman" w:hAnsi="Times New Roman" w:cs="Times New Roman"/>
        </w:rPr>
        <w:t xml:space="preserve">” (2009). Finally, the fourth and final element of a medical malpractice case calculates damages. Economic damages are easily calculated and awarded to the injured patient as compensation for financial losses such as medical expenses. On the other hand, damages may include those that are non-economic. According to The Moore Law Firm, </w:t>
      </w:r>
      <w:r w:rsidRPr="00324DB5">
        <w:rPr>
          <w:rFonts w:ascii="Times New Roman" w:hAnsi="Times New Roman" w:cs="Times New Roman"/>
        </w:rPr>
        <w:t>“Non-economic damages may seem difficult to define, as they are far more nuanced than their strictly economic counterparts. They are best thought of as the types of harm in which a specific receipt cannot accurately be attached. Courts attempt to quantify these anyway for the purpose of compensating suffering victims</w:t>
      </w:r>
      <w:r>
        <w:rPr>
          <w:rFonts w:ascii="Times New Roman" w:hAnsi="Times New Roman" w:cs="Times New Roman"/>
        </w:rPr>
        <w:t xml:space="preserve">” (Moore, 2022).  A common example of non-economic damages includes emotional pain and suffering.  Finally, damages may be attributed to reckless or malicious behavior. These damages are known as punitive damages (Moore, 2022). </w:t>
      </w:r>
    </w:p>
    <w:p w14:paraId="4A1A5247" w14:textId="77777777" w:rsidR="00D5134C" w:rsidRDefault="00D5134C" w:rsidP="00D5134C">
      <w:pPr>
        <w:spacing w:line="360" w:lineRule="auto"/>
        <w:rPr>
          <w:rFonts w:ascii="Times New Roman" w:hAnsi="Times New Roman" w:cs="Times New Roman"/>
          <w:b/>
          <w:bCs/>
        </w:rPr>
      </w:pPr>
    </w:p>
    <w:p w14:paraId="6ED34083" w14:textId="77777777" w:rsidR="00D5134C" w:rsidRDefault="00D5134C" w:rsidP="00D5134C">
      <w:pPr>
        <w:spacing w:line="360" w:lineRule="auto"/>
        <w:rPr>
          <w:rFonts w:ascii="Times New Roman" w:hAnsi="Times New Roman" w:cs="Times New Roman"/>
          <w:b/>
          <w:bCs/>
        </w:rPr>
      </w:pPr>
      <w:r>
        <w:rPr>
          <w:rFonts w:ascii="Times New Roman" w:hAnsi="Times New Roman" w:cs="Times New Roman"/>
          <w:b/>
          <w:bCs/>
        </w:rPr>
        <w:t xml:space="preserve">Insurance Coverage &amp; Tax Considerations </w:t>
      </w:r>
    </w:p>
    <w:p w14:paraId="395ECFCF" w14:textId="77777777" w:rsidR="00D5134C" w:rsidRDefault="00D5134C" w:rsidP="00D5134C">
      <w:pPr>
        <w:spacing w:line="360" w:lineRule="auto"/>
        <w:rPr>
          <w:rFonts w:ascii="Times New Roman" w:hAnsi="Times New Roman" w:cs="Times New Roman"/>
        </w:rPr>
      </w:pPr>
      <w:r>
        <w:rPr>
          <w:rFonts w:ascii="Times New Roman" w:hAnsi="Times New Roman" w:cs="Times New Roman"/>
        </w:rPr>
        <w:t xml:space="preserve">While a medical malpractice claim will not impact the patient’s health insurance plan, it will have a direct impact on the provider. Medical malpractice insurance shares the risk of a lawsuit amid those who may face medical negligence accusations. According to Gallagher Healthcare, “If a patient or a group accuses a healthcare worker of negligence and files a lawsuit against them, medical malpractice insurance provides financial coverage for items including attorneys’ fees, court costs, and, in the case of that healthcare professional being found guilty of negligence, payments for a settlement or judgement if the healthcare worker settles out of court or is found guilty” (Gallagher, n.d.).  These costs can be substantial and have the potential to create a financial disaster for the health provider accused of negligence. Therefore, medical malpractice insurance covers providers from allegations of negligence. This form of insurance is available and recommended for anyone who works in the medical field, as a case can be field </w:t>
      </w:r>
      <w:r>
        <w:rPr>
          <w:rFonts w:ascii="Times New Roman" w:hAnsi="Times New Roman" w:cs="Times New Roman"/>
        </w:rPr>
        <w:lastRenderedPageBreak/>
        <w:t xml:space="preserve">against anyone. This can include but is not limited to nurses, medical students, physicians, doctors, and even hospitals. </w:t>
      </w:r>
    </w:p>
    <w:p w14:paraId="05571989" w14:textId="77777777" w:rsidR="00D5134C" w:rsidRDefault="00D5134C" w:rsidP="00D5134C">
      <w:pPr>
        <w:spacing w:line="360" w:lineRule="auto"/>
        <w:rPr>
          <w:rFonts w:ascii="Times New Roman" w:hAnsi="Times New Roman" w:cs="Times New Roman"/>
        </w:rPr>
      </w:pPr>
    </w:p>
    <w:p w14:paraId="797B4E5E" w14:textId="77777777" w:rsidR="00D5134C" w:rsidRDefault="00D5134C" w:rsidP="00D5134C">
      <w:pPr>
        <w:spacing w:line="360" w:lineRule="auto"/>
        <w:rPr>
          <w:rFonts w:ascii="Times New Roman" w:hAnsi="Times New Roman" w:cs="Times New Roman"/>
        </w:rPr>
      </w:pPr>
      <w:r>
        <w:rPr>
          <w:rFonts w:ascii="Times New Roman" w:hAnsi="Times New Roman" w:cs="Times New Roman"/>
        </w:rPr>
        <w:t>Medical malpractice insurance can be costly, with many driving factors. According to Gallagher Healthcare, the cost of the insurance can depend upon six main factors. First, the cost can be related to the amount of hours that the provider works, with the concept that long hours can be correlated to tired doctors that are more prone to mistakes. Second, the cost can be driven by competition. Insurance companies that are competing with one other may lower their prices to attract more customers than their competition. Third, costs can be related to tort reform. This includes legislation that impacts the compensation that a plaintiff is eligible to receive, such as a cap on damages. Fourth, costs can be impacted by policy limits. These policies determine how much the insurance company will pay on each claim versus over the life of the policy. Fifth, costs can be attributed to defense medicine. This is where a provider will over-prescribe treatment for a patient to avoid a negligence claim. This may work against the provider, as more treatments can mean a greater chance of error. Finally, costs can vary across practices. If a provider works in multiple states or facilities, they may face an increase in the cost of their premiums (Gallagher, n.d.).  Nevertheless, medical malpractice insurance can be costly, which leads to tax implications.  As stated by the Internal Revenue Code Section 162(a), “</w:t>
      </w:r>
      <w:r w:rsidRPr="00D6785F">
        <w:rPr>
          <w:rFonts w:ascii="Times New Roman" w:hAnsi="Times New Roman" w:cs="Times New Roman"/>
        </w:rPr>
        <w:t>There shall be allowed as a deduction all the ordinary and necessary expenses paid or incurred during the taxable year in carrying on any trade or business</w:t>
      </w:r>
      <w:r>
        <w:rPr>
          <w:rFonts w:ascii="Times New Roman" w:hAnsi="Times New Roman" w:cs="Times New Roman"/>
        </w:rPr>
        <w:t>.”  Therefore, it has been established that medical malpractice insurance premiums that are paid may be itemized, as they are included in the ordinary and necessary expenses to carry on the trade or business for those who have started a business to practice medicine. However, this deductible is not permitted for those who are an employee. (</w:t>
      </w:r>
      <w:r w:rsidRPr="00CF46FA">
        <w:rPr>
          <w:rFonts w:ascii="Times New Roman" w:hAnsi="Times New Roman" w:cs="Times New Roman"/>
        </w:rPr>
        <w:t>Wolters Kluwer</w:t>
      </w:r>
      <w:r>
        <w:rPr>
          <w:rFonts w:ascii="Times New Roman" w:hAnsi="Times New Roman" w:cs="Times New Roman"/>
        </w:rPr>
        <w:t>,</w:t>
      </w:r>
      <w:r w:rsidRPr="00CF46FA">
        <w:rPr>
          <w:rFonts w:ascii="Times New Roman" w:hAnsi="Times New Roman" w:cs="Times New Roman"/>
        </w:rPr>
        <w:t xml:space="preserve"> n.d.)</w:t>
      </w:r>
      <w:r>
        <w:rPr>
          <w:rFonts w:ascii="Times New Roman" w:hAnsi="Times New Roman" w:cs="Times New Roman"/>
        </w:rPr>
        <w:t>.</w:t>
      </w:r>
    </w:p>
    <w:p w14:paraId="0A7A75CC" w14:textId="77777777" w:rsidR="00D5134C" w:rsidRPr="001E7BB3" w:rsidRDefault="00D5134C" w:rsidP="00D5134C">
      <w:pPr>
        <w:spacing w:line="360" w:lineRule="auto"/>
        <w:rPr>
          <w:rFonts w:ascii="Times New Roman" w:hAnsi="Times New Roman" w:cs="Times New Roman"/>
        </w:rPr>
      </w:pPr>
    </w:p>
    <w:p w14:paraId="1705BA26" w14:textId="77777777" w:rsidR="00D5134C" w:rsidRDefault="00D5134C" w:rsidP="00D5134C">
      <w:pPr>
        <w:spacing w:line="360" w:lineRule="auto"/>
        <w:rPr>
          <w:rFonts w:ascii="Times New Roman" w:hAnsi="Times New Roman" w:cs="Times New Roman"/>
          <w:b/>
          <w:bCs/>
        </w:rPr>
      </w:pPr>
      <w:r>
        <w:rPr>
          <w:rFonts w:ascii="Times New Roman" w:hAnsi="Times New Roman" w:cs="Times New Roman"/>
          <w:b/>
          <w:bCs/>
        </w:rPr>
        <w:t xml:space="preserve">Types of Insurance Policies </w:t>
      </w:r>
    </w:p>
    <w:p w14:paraId="51C30FA2" w14:textId="77777777" w:rsidR="00D5134C" w:rsidRDefault="00D5134C" w:rsidP="00D5134C">
      <w:pPr>
        <w:spacing w:line="360" w:lineRule="auto"/>
        <w:rPr>
          <w:rFonts w:ascii="Times New Roman" w:hAnsi="Times New Roman" w:cs="Times New Roman"/>
        </w:rPr>
      </w:pPr>
      <w:r>
        <w:rPr>
          <w:rFonts w:ascii="Times New Roman" w:hAnsi="Times New Roman" w:cs="Times New Roman"/>
        </w:rPr>
        <w:t>One of the most important aspects of medical malpractice insurance is the type of policy to purchase. The first main type of policy includes the traditional “occurrence” policy.  This is like car or home insurance and assign the payment of a claim to when it occurred. For example, if the incident occurred in 2024, the 2024 insurance policy would cover the claim. According to Gallagher Healthcare, “</w:t>
      </w:r>
      <w:r w:rsidRPr="00C7731A">
        <w:rPr>
          <w:rFonts w:ascii="Times New Roman" w:hAnsi="Times New Roman" w:cs="Times New Roman"/>
        </w:rPr>
        <w:t>Occurrence policies provide coverage for a healthcare provider while the policy is in effect even if the claim happened before the term of the policy</w:t>
      </w:r>
      <w:r>
        <w:rPr>
          <w:rFonts w:ascii="Times New Roman" w:hAnsi="Times New Roman" w:cs="Times New Roman"/>
        </w:rPr>
        <w:t>.” This type of insurance is not offered as frequently because it is difficult to predict how many claims may be made against a healthcare provider in the future based upon the services that they are providing today. (Gallagher, n.d.).</w:t>
      </w:r>
    </w:p>
    <w:p w14:paraId="5E954ADE" w14:textId="77777777" w:rsidR="00D5134C" w:rsidRDefault="00D5134C" w:rsidP="00D5134C">
      <w:pPr>
        <w:spacing w:line="360" w:lineRule="auto"/>
        <w:rPr>
          <w:rFonts w:ascii="Times New Roman" w:hAnsi="Times New Roman" w:cs="Times New Roman"/>
        </w:rPr>
      </w:pPr>
      <w:r>
        <w:rPr>
          <w:rFonts w:ascii="Times New Roman" w:hAnsi="Times New Roman" w:cs="Times New Roman"/>
        </w:rPr>
        <w:lastRenderedPageBreak/>
        <w:t>The second main type of policy includes the “claims made” policy. This is the most common form of medical malpractice insurance. The claims-made policy examines the date of the claim rather than the date of the incident. Gallagher Healthcare states, “</w:t>
      </w:r>
      <w:r w:rsidRPr="001B471C">
        <w:rPr>
          <w:rFonts w:ascii="Times New Roman" w:hAnsi="Times New Roman" w:cs="Times New Roman"/>
        </w:rPr>
        <w:t>If a claim is made against a physician after that physician has canceled a claims-made policy, that physician is liable for the claim and would no longer be covered by the policy, even if the incident that provoked the claim happened when the policy was in effect.</w:t>
      </w:r>
      <w:r>
        <w:rPr>
          <w:rFonts w:ascii="Times New Roman" w:hAnsi="Times New Roman" w:cs="Times New Roman"/>
        </w:rPr>
        <w:t>” While this policy provides many benefits, gaps in policy coverage can be detrimental. (Gallagher, n.d.).</w:t>
      </w:r>
    </w:p>
    <w:p w14:paraId="206621E8" w14:textId="77777777" w:rsidR="00D5134C" w:rsidRDefault="00D5134C" w:rsidP="00D5134C">
      <w:pPr>
        <w:spacing w:line="360" w:lineRule="auto"/>
        <w:rPr>
          <w:rFonts w:ascii="Times New Roman" w:hAnsi="Times New Roman" w:cs="Times New Roman"/>
        </w:rPr>
      </w:pPr>
    </w:p>
    <w:p w14:paraId="092F9368" w14:textId="77777777" w:rsidR="00D5134C" w:rsidRDefault="00D5134C" w:rsidP="00D5134C">
      <w:pPr>
        <w:spacing w:line="360" w:lineRule="auto"/>
        <w:rPr>
          <w:rFonts w:ascii="Times New Roman" w:hAnsi="Times New Roman" w:cs="Times New Roman"/>
        </w:rPr>
      </w:pPr>
      <w:r>
        <w:rPr>
          <w:rFonts w:ascii="Times New Roman" w:hAnsi="Times New Roman" w:cs="Times New Roman"/>
        </w:rPr>
        <w:t>When considering which type of medical malpractice insurance to purchase, it is important to consider three influential factors: location, specialty, and loss history. First, a provider’s location is important because different states have different malpractice insurance requirements as well as rates. Second, the type of medicine that the provider practices is important because it can determine which type of insurance to be purchased. For example, neurosurgeons will pay higher premiums than a general physician. Third, a provider’s loss history will be an influential factor when analyzing insurance rates. A provider will experience higher rates with a history of claims than if their history was free of claims. “Common Medical Malpractice Insurance Policy Forms” includes, “</w:t>
      </w:r>
      <w:r w:rsidRPr="00930C20">
        <w:rPr>
          <w:rFonts w:ascii="Times New Roman" w:hAnsi="Times New Roman" w:cs="Times New Roman"/>
        </w:rPr>
        <w:t>Aside from the different kinds of medical malpractice insurance you can purchase, you can also purchase your insurance from a single company or use an independent insurance broker who will look at a variety of companies and policies to find you the best one</w:t>
      </w:r>
      <w:r>
        <w:rPr>
          <w:rFonts w:ascii="Times New Roman" w:hAnsi="Times New Roman" w:cs="Times New Roman"/>
        </w:rPr>
        <w:t>” (Gallagher, n.d.). To conclude, medical malpractice insurance is important for both legal and ethical reasons. It is crucial for providers to consider their area of work and which type of insurance policy is best for them.</w:t>
      </w:r>
    </w:p>
    <w:p w14:paraId="0136B342" w14:textId="77777777" w:rsidR="00D5134C" w:rsidRPr="00932A74" w:rsidRDefault="00D5134C" w:rsidP="00D5134C">
      <w:pPr>
        <w:spacing w:line="360" w:lineRule="auto"/>
        <w:rPr>
          <w:rFonts w:ascii="Times New Roman" w:hAnsi="Times New Roman" w:cs="Times New Roman"/>
        </w:rPr>
      </w:pPr>
    </w:p>
    <w:p w14:paraId="2A87A07A" w14:textId="77777777" w:rsidR="00D5134C" w:rsidRDefault="00D5134C" w:rsidP="00D5134C">
      <w:pPr>
        <w:spacing w:line="360" w:lineRule="auto"/>
        <w:rPr>
          <w:rFonts w:ascii="Times New Roman" w:hAnsi="Times New Roman" w:cs="Times New Roman"/>
          <w:b/>
          <w:bCs/>
        </w:rPr>
      </w:pPr>
      <w:r>
        <w:rPr>
          <w:rFonts w:ascii="Times New Roman" w:hAnsi="Times New Roman" w:cs="Times New Roman"/>
          <w:b/>
          <w:bCs/>
        </w:rPr>
        <w:t xml:space="preserve">Ethical Concerns </w:t>
      </w:r>
    </w:p>
    <w:p w14:paraId="30243653" w14:textId="77777777" w:rsidR="00D5134C" w:rsidRDefault="00D5134C" w:rsidP="00D5134C">
      <w:pPr>
        <w:spacing w:line="360" w:lineRule="auto"/>
        <w:rPr>
          <w:rFonts w:ascii="Times New Roman" w:hAnsi="Times New Roman" w:cs="Times New Roman"/>
        </w:rPr>
      </w:pPr>
      <w:r>
        <w:rPr>
          <w:rFonts w:ascii="Times New Roman" w:hAnsi="Times New Roman" w:cs="Times New Roman"/>
        </w:rPr>
        <w:t xml:space="preserve">Medical malpractice cases have many legal and insurance implications that may have financial consequences for both the patient and the healthcare provider. However, it is important to not neglect the ethical concerns associated with these cases. Both parties play a role in ethical considerations because patients must provide accurate medical information to receive proper treatment, while healthcare providers must provide the appropriate treatment while adhering to professional standards of care. Ultimately, the patient and the provider can unite to ensure that patients receive the highest quality care because providers are held to the highest standards of professionalism. (“The Ethics of Medical Malpractice and the Duty of Care”, 2023). </w:t>
      </w:r>
    </w:p>
    <w:p w14:paraId="02FFA57E" w14:textId="77777777" w:rsidR="00D5134C" w:rsidRDefault="00D5134C" w:rsidP="00D5134C">
      <w:pPr>
        <w:spacing w:line="360" w:lineRule="auto"/>
        <w:rPr>
          <w:rFonts w:ascii="Times New Roman" w:hAnsi="Times New Roman" w:cs="Times New Roman"/>
        </w:rPr>
      </w:pPr>
      <w:r>
        <w:rPr>
          <w:rFonts w:ascii="Times New Roman" w:hAnsi="Times New Roman" w:cs="Times New Roman"/>
        </w:rPr>
        <w:lastRenderedPageBreak/>
        <w:t>Duty of care is a foundational concept in medical malpractice law. The Simon Law Firm, P.C. describes, “</w:t>
      </w:r>
      <w:r w:rsidRPr="00B06CFE">
        <w:rPr>
          <w:rFonts w:ascii="Times New Roman" w:hAnsi="Times New Roman" w:cs="Times New Roman"/>
        </w:rPr>
        <w:t>When you seek medical treatment, you’re placing trust in the hands of healthcare professionals. This trust comes with a responsibility—the duty of care—which says doctors, nurses, and even the hospital as a whole provide a reasonable standard of care to you, the patient</w:t>
      </w:r>
      <w:r>
        <w:rPr>
          <w:rFonts w:ascii="Times New Roman" w:hAnsi="Times New Roman" w:cs="Times New Roman"/>
        </w:rPr>
        <w:t>” (Simon Law PC, 2024). This ethical principle requires providers to act with reasonable care to prevent harm to their patients. In terms of reasonable care, providers must also consider the broad, long-term significance of their actions such as potentials benefits and risks of treatments. A breach of this duty can be the channel to a case of negligence against the provider. According to the National Library of Medicine, ‘</w:t>
      </w:r>
      <w:r w:rsidRPr="00C870FC">
        <w:rPr>
          <w:rFonts w:ascii="Times New Roman" w:hAnsi="Times New Roman" w:cs="Times New Roman"/>
        </w:rPr>
        <w:t>Failure of a doctor and hospital to discharge this obligation is essentially a tortious liability. A tort is a civil wrong (</w:t>
      </w:r>
      <w:r w:rsidRPr="00C870FC">
        <w:rPr>
          <w:rFonts w:ascii="Times New Roman" w:hAnsi="Times New Roman" w:cs="Times New Roman"/>
          <w:i/>
          <w:iCs/>
        </w:rPr>
        <w:t>right in rem</w:t>
      </w:r>
      <w:r w:rsidRPr="00C870FC">
        <w:rPr>
          <w:rFonts w:ascii="Times New Roman" w:hAnsi="Times New Roman" w:cs="Times New Roman"/>
        </w:rPr>
        <w:t>) as against a contractual obligation (</w:t>
      </w:r>
      <w:r w:rsidRPr="00C870FC">
        <w:rPr>
          <w:rFonts w:ascii="Times New Roman" w:hAnsi="Times New Roman" w:cs="Times New Roman"/>
          <w:i/>
          <w:iCs/>
        </w:rPr>
        <w:t>right in personam</w:t>
      </w:r>
      <w:r w:rsidRPr="00C870FC">
        <w:rPr>
          <w:rFonts w:ascii="Times New Roman" w:hAnsi="Times New Roman" w:cs="Times New Roman"/>
        </w:rPr>
        <w:t>) – a breach that attracts judicial intervention by way of awarding damages. Thus, a patient's right to receive medical attention from doctors and hospitals is essentially a civil right</w:t>
      </w:r>
      <w:r>
        <w:rPr>
          <w:rFonts w:ascii="Times New Roman" w:hAnsi="Times New Roman" w:cs="Times New Roman"/>
        </w:rPr>
        <w:t xml:space="preserve">” (Pandit, 2009). Practicing a proper duty of care ensures a culture of accountability among healthcare providers as well as a framework of safety for patients. </w:t>
      </w:r>
    </w:p>
    <w:p w14:paraId="247C8CB2" w14:textId="77777777" w:rsidR="00D5134C" w:rsidRDefault="00D5134C" w:rsidP="00D5134C">
      <w:pPr>
        <w:spacing w:line="360" w:lineRule="auto"/>
        <w:rPr>
          <w:rFonts w:ascii="Times New Roman" w:hAnsi="Times New Roman" w:cs="Times New Roman"/>
        </w:rPr>
      </w:pPr>
    </w:p>
    <w:p w14:paraId="592E4BCD" w14:textId="77777777" w:rsidR="00D5134C" w:rsidRDefault="00D5134C" w:rsidP="00D5134C">
      <w:pPr>
        <w:spacing w:line="360" w:lineRule="auto"/>
        <w:rPr>
          <w:rFonts w:ascii="Times New Roman" w:hAnsi="Times New Roman" w:cs="Times New Roman"/>
        </w:rPr>
      </w:pPr>
      <w:r>
        <w:rPr>
          <w:rFonts w:ascii="Times New Roman" w:hAnsi="Times New Roman" w:cs="Times New Roman"/>
        </w:rPr>
        <w:t>A study by Johns Hopkins described that diagnostic errors could be largest patient safety and medical malpractice problem in the United States. These errors are defined as a diagnosis that is missed, wrong, or delayed and are discovered by a subsequent finding. As defined by Johns Hopkins, “</w:t>
      </w:r>
      <w:r w:rsidRPr="00086289">
        <w:rPr>
          <w:rFonts w:ascii="Times New Roman" w:hAnsi="Times New Roman" w:cs="Times New Roman"/>
        </w:rPr>
        <w:t>In reviewing 25 years of U.S. malpractice claim payouts, Johns Hopkins researchers found that diagnostic errors — not surgical mistakes or medication overdoses — accounted for the largest fraction of claims, the most severe patient harm, and the highest total of penalty payouts. Diagnosis</w:t>
      </w:r>
      <w:r>
        <w:rPr>
          <w:rFonts w:ascii="Times New Roman" w:hAnsi="Times New Roman" w:cs="Times New Roman"/>
        </w:rPr>
        <w:t xml:space="preserve"> </w:t>
      </w:r>
      <w:r w:rsidRPr="00086289">
        <w:rPr>
          <w:rFonts w:ascii="Times New Roman" w:hAnsi="Times New Roman" w:cs="Times New Roman"/>
        </w:rPr>
        <w:t>related payments amounted to $38.8 billion between 1986 and 2010</w:t>
      </w:r>
      <w:r>
        <w:rPr>
          <w:rFonts w:ascii="Times New Roman" w:hAnsi="Times New Roman" w:cs="Times New Roman"/>
        </w:rPr>
        <w:t>…” (Newman-Toker et al, 2013). This statistic highlights the severity of diagnostic errors leading to claims. Addressing such errors and their cause can alleviate patients while increasing efficiency in the medical field. Furthermore, “…</w:t>
      </w:r>
      <w:r w:rsidRPr="00DC1600">
        <w:rPr>
          <w:rFonts w:ascii="Times New Roman" w:hAnsi="Times New Roman" w:cs="Times New Roman"/>
        </w:rPr>
        <w:t>those that rose to the level of a malpractice payout — researchers estimate the number of patients suffering misdiagnosis-related, potentially preventable, significant permanent injury or death annually in the United States ranges from 80,000 to 160,000</w:t>
      </w:r>
      <w:r>
        <w:rPr>
          <w:rFonts w:ascii="Times New Roman" w:hAnsi="Times New Roman" w:cs="Times New Roman"/>
        </w:rPr>
        <w:t xml:space="preserve">” (Newman-Toker et al, 2013).  While this statistic sheds light upon the significant number of patients facing permanent injury or death, it fails to consider many more cases of medical negligence that are not as severe but also cause pain and suffering. Cases of medical malpractice are more than just numbers. Most importantly, it is about decreasing medical negligence to reduce the pain and suffering of those trusting in the healthcare system. </w:t>
      </w:r>
    </w:p>
    <w:p w14:paraId="29487AA0" w14:textId="77777777" w:rsidR="00700316" w:rsidRDefault="00700316" w:rsidP="00D5134C">
      <w:pPr>
        <w:spacing w:line="360" w:lineRule="auto"/>
        <w:rPr>
          <w:rFonts w:ascii="Times New Roman" w:hAnsi="Times New Roman" w:cs="Times New Roman"/>
        </w:rPr>
      </w:pPr>
    </w:p>
    <w:p w14:paraId="601EDEB9" w14:textId="77777777" w:rsidR="00D5134C" w:rsidRPr="009A3609" w:rsidRDefault="00D5134C" w:rsidP="00D5134C">
      <w:pPr>
        <w:spacing w:line="360" w:lineRule="auto"/>
        <w:rPr>
          <w:rFonts w:ascii="Times New Roman" w:hAnsi="Times New Roman" w:cs="Times New Roman"/>
        </w:rPr>
      </w:pPr>
    </w:p>
    <w:p w14:paraId="1B534496" w14:textId="77777777" w:rsidR="00D5134C" w:rsidRDefault="00D5134C" w:rsidP="00D5134C">
      <w:pPr>
        <w:spacing w:line="360" w:lineRule="auto"/>
        <w:rPr>
          <w:rFonts w:ascii="Times New Roman" w:hAnsi="Times New Roman" w:cs="Times New Roman"/>
          <w:b/>
          <w:bCs/>
        </w:rPr>
      </w:pPr>
      <w:r>
        <w:rPr>
          <w:rFonts w:ascii="Times New Roman" w:hAnsi="Times New Roman" w:cs="Times New Roman"/>
          <w:b/>
          <w:bCs/>
        </w:rPr>
        <w:lastRenderedPageBreak/>
        <w:t>Case Study</w:t>
      </w:r>
    </w:p>
    <w:p w14:paraId="647AFF1D" w14:textId="77777777" w:rsidR="00D5134C" w:rsidRDefault="00D5134C" w:rsidP="00D5134C">
      <w:pPr>
        <w:spacing w:line="360" w:lineRule="auto"/>
        <w:rPr>
          <w:rFonts w:ascii="Times New Roman" w:hAnsi="Times New Roman" w:cs="Times New Roman"/>
        </w:rPr>
      </w:pPr>
      <w:r>
        <w:rPr>
          <w:rFonts w:ascii="Times New Roman" w:hAnsi="Times New Roman" w:cs="Times New Roman"/>
        </w:rPr>
        <w:t xml:space="preserve">A landmark case for establishing a national duty of care is Hall v. Hilbun. This 1985 case was taken to the Supreme Court of Mississippi to establish a standard of care in medical malpractice cases. Plaintiff Glenn Hall bough this case against Dr. Glyn R. Hilbun in regard to the passing of his wife, Terry O. Hall. On May 18, 1978, Terry Hall was admitted to the Singing River Hospital in Jackson County, Mississippi. Complaining of abdominal discomfort, Dr. Hilbun recommended an exploratory laparotomy, as prior examination indicated an obstruction of the small bowel. Dr. Hilbun performed this surgery at noon on May 20, 1978. Following the surgery, Dr. Hilbun remained with Terry Hall for the following hour, ensuring that she was alert and that her vitals were stable. Glenn Hall stated that his wife began to experience pain a few hours later, for which she was given morphine. After Terry Hall had fallen asleep, Glenn Hall noticed that his wife was beginning to have trouble breathing. Glenn Hall was informed that this was normal post-operation, and Terry Hall was then given a sedative to ease her complaints of abdominal pain. Terry Hall proceeded to have trouble breathing and later passed away, about 14 hours after her surgery on May 21, 1978. Her cause of death was determined as adult respiratory distress syndrome.  Glenn Hall commenced the wrongful death by filing a complaint with the </w:t>
      </w:r>
      <w:r w:rsidRPr="003F6313">
        <w:rPr>
          <w:rFonts w:ascii="Times New Roman" w:hAnsi="Times New Roman" w:cs="Times New Roman"/>
        </w:rPr>
        <w:t>Circuit Court of Jackson County, Mississippi</w:t>
      </w:r>
      <w:r>
        <w:rPr>
          <w:rFonts w:ascii="Times New Roman" w:hAnsi="Times New Roman" w:cs="Times New Roman"/>
        </w:rPr>
        <w:t xml:space="preserve"> on May 19, 1980. The trial began the next year on July 13, 1981. Plaintiff Glenn Hall centered his case around Defendant Dr. Hilbun’s post-operative care, suggesting that Dr. Hilbun failed to inquire about his patient’s course prior to the end of his shift as well as his alleged failure to give proper post-operative instructions to the nursing staff.  However, Glenn Hall’s expert witnesses from Cleveland, Ohio had been excluded. (</w:t>
      </w:r>
      <w:r>
        <w:rPr>
          <w:rFonts w:ascii="Times New Roman" w:hAnsi="Times New Roman" w:cs="Times New Roman"/>
          <w:i/>
          <w:iCs/>
        </w:rPr>
        <w:t xml:space="preserve">Hall v. Hilbun, </w:t>
      </w:r>
      <w:r>
        <w:rPr>
          <w:rFonts w:ascii="Times New Roman" w:hAnsi="Times New Roman" w:cs="Times New Roman"/>
        </w:rPr>
        <w:t xml:space="preserve">1985). </w:t>
      </w:r>
    </w:p>
    <w:p w14:paraId="5D99E675" w14:textId="77777777" w:rsidR="00D5134C" w:rsidRDefault="00D5134C" w:rsidP="00D5134C">
      <w:pPr>
        <w:spacing w:line="360" w:lineRule="auto"/>
        <w:rPr>
          <w:rFonts w:ascii="Times New Roman" w:hAnsi="Times New Roman" w:cs="Times New Roman"/>
        </w:rPr>
      </w:pPr>
    </w:p>
    <w:p w14:paraId="742AF80F" w14:textId="77777777" w:rsidR="00D5134C" w:rsidRPr="0044111C" w:rsidRDefault="00D5134C" w:rsidP="00D5134C">
      <w:pPr>
        <w:spacing w:line="360" w:lineRule="auto"/>
        <w:rPr>
          <w:rFonts w:ascii="Times New Roman" w:hAnsi="Times New Roman" w:cs="Times New Roman"/>
        </w:rPr>
      </w:pPr>
      <w:r>
        <w:rPr>
          <w:rFonts w:ascii="Times New Roman" w:hAnsi="Times New Roman" w:cs="Times New Roman"/>
        </w:rPr>
        <w:t xml:space="preserve">The Mississippi Supreme Court ordered a new trial including testimonies from the Ohio doctors to determine if Dr. Hilbun breached the duty of care in his post-operative care of Terry Hall.  </w:t>
      </w:r>
    </w:p>
    <w:p w14:paraId="2F7B4452" w14:textId="77777777" w:rsidR="00D5134C" w:rsidRDefault="00D5134C" w:rsidP="00D5134C">
      <w:pPr>
        <w:spacing w:line="360" w:lineRule="auto"/>
        <w:rPr>
          <w:rFonts w:ascii="Times New Roman" w:hAnsi="Times New Roman" w:cs="Times New Roman"/>
        </w:rPr>
      </w:pPr>
      <w:r>
        <w:rPr>
          <w:rFonts w:ascii="Times New Roman" w:hAnsi="Times New Roman" w:cs="Times New Roman"/>
        </w:rPr>
        <w:t>Hall v. Hilbun established a national standard of care, rather than assessing standards of doctors in the local area by calling upon the expert witnesses from Ohio. This assesses the ‘locality rule” which recognizes a rule of substantive law and a rule of evidence, stating that the standard of care should be judged upon what other professionals in the same locality. Furthermore, physicians should be held accountable at a national standard. The Supreme Court of Mississippi states, “</w:t>
      </w:r>
      <w:r w:rsidRPr="0044111C">
        <w:rPr>
          <w:rFonts w:ascii="Times New Roman" w:hAnsi="Times New Roman" w:cs="Times New Roman"/>
        </w:rPr>
        <w:t>Each physician, by virtue of the positive, substantive law of this state, has a duty of care consistent with the level of expertise the physician holds himself out as possessing and consistent with the circumstances of the case. That duty is non-delegable</w:t>
      </w:r>
      <w:r>
        <w:rPr>
          <w:rFonts w:ascii="Times New Roman" w:hAnsi="Times New Roman" w:cs="Times New Roman"/>
        </w:rPr>
        <w:t>” (</w:t>
      </w:r>
      <w:r>
        <w:rPr>
          <w:rFonts w:ascii="Times New Roman" w:hAnsi="Times New Roman" w:cs="Times New Roman"/>
          <w:i/>
          <w:iCs/>
        </w:rPr>
        <w:t xml:space="preserve">Hall v. Hilbun, </w:t>
      </w:r>
      <w:r>
        <w:rPr>
          <w:rFonts w:ascii="Times New Roman" w:hAnsi="Times New Roman" w:cs="Times New Roman"/>
        </w:rPr>
        <w:t>1985).  The duty of care includes that physicians owe each patient reasonable care.  Services associated with this duty include the entire caring process, including post-</w:t>
      </w:r>
      <w:r>
        <w:rPr>
          <w:rFonts w:ascii="Times New Roman" w:hAnsi="Times New Roman" w:cs="Times New Roman"/>
        </w:rPr>
        <w:lastRenderedPageBreak/>
        <w:t xml:space="preserve">operation. Last, this decision further clarified the duty of care and expanded upon expert testimony from outside a physician’s community for further evaluations of medical malpractice cases. </w:t>
      </w:r>
    </w:p>
    <w:p w14:paraId="26F8D4C8" w14:textId="77777777" w:rsidR="00D5134C" w:rsidRPr="007A6987" w:rsidRDefault="00D5134C" w:rsidP="00D5134C">
      <w:pPr>
        <w:spacing w:line="360" w:lineRule="auto"/>
        <w:rPr>
          <w:rFonts w:ascii="Times New Roman" w:hAnsi="Times New Roman" w:cs="Times New Roman"/>
        </w:rPr>
      </w:pPr>
    </w:p>
    <w:p w14:paraId="3307D213" w14:textId="77777777" w:rsidR="00D5134C" w:rsidRDefault="00D5134C" w:rsidP="00D5134C">
      <w:pPr>
        <w:spacing w:line="360" w:lineRule="auto"/>
        <w:rPr>
          <w:rFonts w:ascii="Times New Roman" w:hAnsi="Times New Roman" w:cs="Times New Roman"/>
          <w:b/>
          <w:bCs/>
        </w:rPr>
      </w:pPr>
      <w:r>
        <w:rPr>
          <w:rFonts w:ascii="Times New Roman" w:hAnsi="Times New Roman" w:cs="Times New Roman"/>
          <w:b/>
          <w:bCs/>
        </w:rPr>
        <w:t xml:space="preserve">Conclusion </w:t>
      </w:r>
    </w:p>
    <w:p w14:paraId="64D89A38" w14:textId="77777777" w:rsidR="006547C9" w:rsidRDefault="00D5134C" w:rsidP="006547C9">
      <w:pPr>
        <w:spacing w:line="360" w:lineRule="auto"/>
        <w:rPr>
          <w:rFonts w:ascii="Times New Roman" w:hAnsi="Times New Roman" w:cs="Times New Roman"/>
        </w:rPr>
      </w:pPr>
      <w:r>
        <w:rPr>
          <w:rFonts w:ascii="Times New Roman" w:hAnsi="Times New Roman" w:cs="Times New Roman"/>
        </w:rPr>
        <w:t xml:space="preserve">In conclusion, the complexities concerning medical malpractice revolve around legal aspects, insurance policies, and ethical concerns. The authority of the individual states shapes medical malpractice because legislative action may vary across the nation. Additionally, insurance coverage and polices attribute to the financial aspect that providers undertake to mitigate the risks associated with medical negligence. Furthermore, medical malpractice is surrounded by the ethical concerns that arise from the lack of duty of care owed to the patient by the provider. Legal, insurance, and ethical implications demonstrate the significance in accountability in the healthcare field to ensure patient safety. </w:t>
      </w:r>
    </w:p>
    <w:p w14:paraId="49DE520A" w14:textId="77FDF623" w:rsidR="00D5134C" w:rsidRDefault="00D5134C" w:rsidP="006547C9">
      <w:pPr>
        <w:spacing w:line="360" w:lineRule="auto"/>
        <w:rPr>
          <w:rFonts w:ascii="Times New Roman" w:hAnsi="Times New Roman" w:cs="Times New Roman"/>
        </w:rPr>
      </w:pPr>
      <w:r w:rsidRPr="001841A5">
        <w:rPr>
          <w:rFonts w:ascii="Times New Roman" w:hAnsi="Times New Roman" w:cs="Times New Roman"/>
          <w:b/>
          <w:bCs/>
        </w:rPr>
        <w:t>References</w:t>
      </w:r>
    </w:p>
    <w:p w14:paraId="70FE281D" w14:textId="77777777" w:rsidR="00D5134C" w:rsidRDefault="00D5134C" w:rsidP="00D5134C">
      <w:pPr>
        <w:spacing w:line="360" w:lineRule="auto"/>
        <w:ind w:left="720" w:hanging="720"/>
        <w:rPr>
          <w:rFonts w:ascii="Times New Roman" w:hAnsi="Times New Roman" w:cs="Times New Roman"/>
        </w:rPr>
      </w:pPr>
      <w:r w:rsidRPr="000707DB">
        <w:rPr>
          <w:rFonts w:ascii="Times New Roman" w:hAnsi="Times New Roman" w:cs="Times New Roman"/>
        </w:rPr>
        <w:t xml:space="preserve">American Medical Association. (n.d.). </w:t>
      </w:r>
      <w:r w:rsidRPr="000707DB">
        <w:rPr>
          <w:rFonts w:ascii="Times New Roman" w:hAnsi="Times New Roman" w:cs="Times New Roman"/>
          <w:i/>
          <w:iCs/>
        </w:rPr>
        <w:t>About</w:t>
      </w:r>
      <w:r w:rsidRPr="000707DB">
        <w:rPr>
          <w:rFonts w:ascii="Times New Roman" w:hAnsi="Times New Roman" w:cs="Times New Roman"/>
        </w:rPr>
        <w:t xml:space="preserve">. https://www.ama-assn.org/about#:~:text=medicine%20and%20t-,Founded%20in%201847%2C%20the%20American%20Medical%20Association%20(AMA)%20is,societies%20and%20other%20critical%20stakeholders. </w:t>
      </w:r>
    </w:p>
    <w:p w14:paraId="36E3611A" w14:textId="77777777" w:rsidR="00D5134C" w:rsidRDefault="00D5134C" w:rsidP="00D5134C">
      <w:pPr>
        <w:spacing w:line="360" w:lineRule="auto"/>
        <w:ind w:left="720" w:hanging="720"/>
        <w:rPr>
          <w:rFonts w:ascii="Times New Roman" w:hAnsi="Times New Roman" w:cs="Times New Roman"/>
        </w:rPr>
      </w:pPr>
      <w:r w:rsidRPr="00F54437">
        <w:rPr>
          <w:rFonts w:ascii="Times New Roman" w:hAnsi="Times New Roman" w:cs="Times New Roman"/>
        </w:rPr>
        <w:t xml:space="preserve">Bal, B. S. (2009, February). </w:t>
      </w:r>
      <w:r w:rsidRPr="00F54437">
        <w:rPr>
          <w:rFonts w:ascii="Times New Roman" w:hAnsi="Times New Roman" w:cs="Times New Roman"/>
          <w:i/>
          <w:iCs/>
        </w:rPr>
        <w:t>An introduction to medical malpractice in the United States</w:t>
      </w:r>
      <w:r w:rsidRPr="00F54437">
        <w:rPr>
          <w:rFonts w:ascii="Times New Roman" w:hAnsi="Times New Roman" w:cs="Times New Roman"/>
        </w:rPr>
        <w:t xml:space="preserve">. Clinical orthopaedics and related research. https://pmc.ncbi.nlm.nih.gov/articles/PMC2628513/ </w:t>
      </w:r>
    </w:p>
    <w:p w14:paraId="3EA91C5C" w14:textId="480B888A" w:rsidR="00D5134C" w:rsidRPr="000707DB" w:rsidRDefault="00D5134C" w:rsidP="00D5134C">
      <w:pPr>
        <w:spacing w:line="360" w:lineRule="auto"/>
        <w:ind w:left="720" w:hanging="720"/>
        <w:rPr>
          <w:rFonts w:ascii="Times New Roman" w:hAnsi="Times New Roman" w:cs="Times New Roman"/>
        </w:rPr>
      </w:pPr>
      <w:r w:rsidRPr="00985BAC">
        <w:rPr>
          <w:rFonts w:ascii="Times New Roman" w:hAnsi="Times New Roman" w:cs="Times New Roman"/>
        </w:rPr>
        <w:t xml:space="preserve">Gallagher. (n.d.). </w:t>
      </w:r>
      <w:r w:rsidRPr="00985BAC">
        <w:rPr>
          <w:rFonts w:ascii="Times New Roman" w:hAnsi="Times New Roman" w:cs="Times New Roman"/>
          <w:i/>
          <w:iCs/>
        </w:rPr>
        <w:t>Common medical malpractice insurance policy forms</w:t>
      </w:r>
      <w:r w:rsidRPr="00985BAC">
        <w:rPr>
          <w:rFonts w:ascii="Times New Roman" w:hAnsi="Times New Roman" w:cs="Times New Roman"/>
        </w:rPr>
        <w:t>. https://www.gallaghermalpractice.com/resources/introduction-to-medical-malpractice/#:~:text=If%20a%20patient%20or%20a,payments%20for%20a%20settlement%20or</w:t>
      </w:r>
    </w:p>
    <w:p w14:paraId="5A5A58A3" w14:textId="77777777" w:rsidR="00D5134C" w:rsidRDefault="00D5134C" w:rsidP="00D5134C">
      <w:pPr>
        <w:spacing w:line="360" w:lineRule="auto"/>
        <w:ind w:left="720" w:hanging="720"/>
        <w:rPr>
          <w:rFonts w:ascii="Times New Roman" w:hAnsi="Times New Roman" w:cs="Times New Roman"/>
        </w:rPr>
      </w:pPr>
      <w:r w:rsidRPr="0008263D">
        <w:rPr>
          <w:rFonts w:ascii="Times New Roman" w:hAnsi="Times New Roman" w:cs="Times New Roman"/>
        </w:rPr>
        <w:t xml:space="preserve">Gilman &amp; Bedigian. (2021, January 7). </w:t>
      </w:r>
      <w:r w:rsidRPr="0008263D">
        <w:rPr>
          <w:rFonts w:ascii="Times New Roman" w:hAnsi="Times New Roman" w:cs="Times New Roman"/>
          <w:i/>
          <w:iCs/>
        </w:rPr>
        <w:t>A history of medical malpractice in the United States</w:t>
      </w:r>
      <w:r w:rsidRPr="0008263D">
        <w:rPr>
          <w:rFonts w:ascii="Times New Roman" w:hAnsi="Times New Roman" w:cs="Times New Roman"/>
        </w:rPr>
        <w:t xml:space="preserve">. https://www.gilmanbedigian.com/a-history-of-medical-malpractice-in-the-united-states/ </w:t>
      </w:r>
    </w:p>
    <w:p w14:paraId="4E60B2DC" w14:textId="77777777" w:rsidR="00D5134C" w:rsidRDefault="00D5134C" w:rsidP="00D5134C">
      <w:pPr>
        <w:spacing w:line="360" w:lineRule="auto"/>
        <w:ind w:left="720" w:hanging="720"/>
        <w:rPr>
          <w:rFonts w:ascii="Times New Roman" w:hAnsi="Times New Roman" w:cs="Times New Roman"/>
        </w:rPr>
      </w:pPr>
      <w:r w:rsidRPr="004E6048">
        <w:rPr>
          <w:rFonts w:ascii="Times New Roman" w:hAnsi="Times New Roman" w:cs="Times New Roman"/>
        </w:rPr>
        <w:t xml:space="preserve">Goguen, J. D. · U. of S. F. S. of L. (2023, December 15). </w:t>
      </w:r>
      <w:r w:rsidRPr="004E6048">
        <w:rPr>
          <w:rFonts w:ascii="Times New Roman" w:hAnsi="Times New Roman" w:cs="Times New Roman"/>
          <w:i/>
          <w:iCs/>
        </w:rPr>
        <w:t>State-by-state medical malpractice damages caps</w:t>
      </w:r>
      <w:r w:rsidRPr="004E6048">
        <w:rPr>
          <w:rFonts w:ascii="Times New Roman" w:hAnsi="Times New Roman" w:cs="Times New Roman"/>
        </w:rPr>
        <w:t xml:space="preserve">. www.nolo.com. https://www.nolo.com/legal-encyclopedia/state-state-medical-malpractice-damages-caps.html </w:t>
      </w:r>
    </w:p>
    <w:p w14:paraId="011F910E" w14:textId="77777777" w:rsidR="00D5134C" w:rsidRPr="00F23D80" w:rsidRDefault="00D5134C" w:rsidP="00D5134C">
      <w:pPr>
        <w:spacing w:line="360" w:lineRule="auto"/>
        <w:ind w:left="720" w:hanging="720"/>
        <w:rPr>
          <w:rFonts w:ascii="Times New Roman" w:hAnsi="Times New Roman" w:cs="Times New Roman"/>
        </w:rPr>
      </w:pPr>
      <w:r w:rsidRPr="00F23D80">
        <w:rPr>
          <w:rFonts w:ascii="Times New Roman" w:hAnsi="Times New Roman" w:cs="Times New Roman"/>
        </w:rPr>
        <w:t>Hall v. Hilbun, 466 So. 2d 856 - Miss: Supreme Court 1985</w:t>
      </w:r>
    </w:p>
    <w:p w14:paraId="7DF9F981" w14:textId="77777777" w:rsidR="00D5134C" w:rsidRPr="0008263D" w:rsidRDefault="00D5134C" w:rsidP="00D5134C">
      <w:pPr>
        <w:spacing w:line="360" w:lineRule="auto"/>
        <w:ind w:left="720" w:hanging="720"/>
        <w:rPr>
          <w:rFonts w:ascii="Times New Roman" w:hAnsi="Times New Roman" w:cs="Times New Roman"/>
        </w:rPr>
      </w:pPr>
      <w:r w:rsidRPr="003F1C0D">
        <w:rPr>
          <w:rFonts w:ascii="Times New Roman" w:hAnsi="Times New Roman" w:cs="Times New Roman"/>
        </w:rPr>
        <w:t>I.R.C. § </w:t>
      </w:r>
      <w:r>
        <w:rPr>
          <w:rFonts w:ascii="Times New Roman" w:hAnsi="Times New Roman" w:cs="Times New Roman"/>
        </w:rPr>
        <w:t>162</w:t>
      </w:r>
      <w:r w:rsidRPr="003F1C0D">
        <w:rPr>
          <w:rFonts w:ascii="Times New Roman" w:hAnsi="Times New Roman" w:cs="Times New Roman"/>
        </w:rPr>
        <w:t>(a)</w:t>
      </w:r>
      <w:r>
        <w:rPr>
          <w:rFonts w:ascii="Times New Roman" w:hAnsi="Times New Roman" w:cs="Times New Roman"/>
        </w:rPr>
        <w:t xml:space="preserve">. </w:t>
      </w:r>
    </w:p>
    <w:p w14:paraId="79E5BC3D" w14:textId="77777777" w:rsidR="00D5134C" w:rsidRDefault="00D5134C" w:rsidP="00D5134C">
      <w:pPr>
        <w:spacing w:line="360" w:lineRule="auto"/>
        <w:rPr>
          <w:rFonts w:ascii="Times New Roman" w:hAnsi="Times New Roman" w:cs="Times New Roman"/>
        </w:rPr>
      </w:pPr>
    </w:p>
    <w:p w14:paraId="7D7367D1" w14:textId="77777777" w:rsidR="00D5134C" w:rsidRDefault="00D5134C" w:rsidP="00D5134C">
      <w:pPr>
        <w:spacing w:line="360" w:lineRule="auto"/>
        <w:ind w:left="720" w:hanging="720"/>
        <w:rPr>
          <w:rFonts w:ascii="Times New Roman" w:hAnsi="Times New Roman" w:cs="Times New Roman"/>
        </w:rPr>
      </w:pPr>
      <w:r w:rsidRPr="003414F4">
        <w:rPr>
          <w:rFonts w:ascii="Times New Roman" w:hAnsi="Times New Roman" w:cs="Times New Roman"/>
        </w:rPr>
        <w:lastRenderedPageBreak/>
        <w:t xml:space="preserve">Moore, D. (2022, August 19). </w:t>
      </w:r>
      <w:r w:rsidRPr="003414F4">
        <w:rPr>
          <w:rFonts w:ascii="Times New Roman" w:hAnsi="Times New Roman" w:cs="Times New Roman"/>
          <w:i/>
          <w:iCs/>
        </w:rPr>
        <w:t>The main types of damages in medical malpractice cases</w:t>
      </w:r>
      <w:r w:rsidRPr="003414F4">
        <w:rPr>
          <w:rFonts w:ascii="Times New Roman" w:hAnsi="Times New Roman" w:cs="Times New Roman"/>
        </w:rPr>
        <w:t xml:space="preserve">. The Moore Law Firm. https://www.moorelaw.com/resources/types-of-damages-in-medical-malpractice-cases/#:~:text=Emotional%20and%20Mental%20Pain%20and,accepted%20medical%20standard%20of%20care </w:t>
      </w:r>
    </w:p>
    <w:p w14:paraId="4F62C046" w14:textId="77777777" w:rsidR="00D5134C" w:rsidRDefault="00D5134C" w:rsidP="00D5134C">
      <w:pPr>
        <w:spacing w:line="360" w:lineRule="auto"/>
        <w:ind w:left="720" w:hanging="720"/>
        <w:rPr>
          <w:rFonts w:ascii="Times New Roman" w:hAnsi="Times New Roman" w:cs="Times New Roman"/>
        </w:rPr>
      </w:pPr>
    </w:p>
    <w:p w14:paraId="1A77274E" w14:textId="77777777" w:rsidR="00D5134C" w:rsidRDefault="00D5134C" w:rsidP="00D5134C">
      <w:pPr>
        <w:spacing w:line="360" w:lineRule="auto"/>
        <w:ind w:left="720" w:hanging="720"/>
        <w:rPr>
          <w:rFonts w:ascii="Times New Roman" w:hAnsi="Times New Roman" w:cs="Times New Roman"/>
        </w:rPr>
      </w:pPr>
      <w:r>
        <w:rPr>
          <w:rFonts w:ascii="Times New Roman" w:hAnsi="Times New Roman" w:cs="Times New Roman"/>
        </w:rPr>
        <w:t xml:space="preserve">Newman-Toker (2013, April 23). </w:t>
      </w:r>
      <w:r w:rsidRPr="00A000C3">
        <w:rPr>
          <w:rFonts w:ascii="Times New Roman" w:hAnsi="Times New Roman" w:cs="Times New Roman"/>
          <w:i/>
          <w:iCs/>
        </w:rPr>
        <w:t xml:space="preserve">Diagnostic </w:t>
      </w:r>
      <w:r w:rsidRPr="001841A5">
        <w:rPr>
          <w:rFonts w:ascii="Times New Roman" w:hAnsi="Times New Roman" w:cs="Times New Roman"/>
          <w:i/>
          <w:iCs/>
        </w:rPr>
        <w:t>Er</w:t>
      </w:r>
      <w:r w:rsidRPr="00A000C3">
        <w:rPr>
          <w:rFonts w:ascii="Times New Roman" w:hAnsi="Times New Roman" w:cs="Times New Roman"/>
          <w:i/>
          <w:iCs/>
        </w:rPr>
        <w:t xml:space="preserve">rors </w:t>
      </w:r>
      <w:r w:rsidRPr="001841A5">
        <w:rPr>
          <w:rFonts w:ascii="Times New Roman" w:hAnsi="Times New Roman" w:cs="Times New Roman"/>
          <w:i/>
          <w:iCs/>
        </w:rPr>
        <w:t>M</w:t>
      </w:r>
      <w:r w:rsidRPr="00A000C3">
        <w:rPr>
          <w:rFonts w:ascii="Times New Roman" w:hAnsi="Times New Roman" w:cs="Times New Roman"/>
          <w:i/>
          <w:iCs/>
        </w:rPr>
        <w:t xml:space="preserve">ore </w:t>
      </w:r>
      <w:r w:rsidRPr="001841A5">
        <w:rPr>
          <w:rFonts w:ascii="Times New Roman" w:hAnsi="Times New Roman" w:cs="Times New Roman"/>
          <w:i/>
          <w:iCs/>
        </w:rPr>
        <w:t>Co</w:t>
      </w:r>
      <w:r w:rsidRPr="00A000C3">
        <w:rPr>
          <w:rFonts w:ascii="Times New Roman" w:hAnsi="Times New Roman" w:cs="Times New Roman"/>
          <w:i/>
          <w:iCs/>
        </w:rPr>
        <w:t xml:space="preserve">mmon, </w:t>
      </w:r>
      <w:r w:rsidRPr="001841A5">
        <w:rPr>
          <w:rFonts w:ascii="Times New Roman" w:hAnsi="Times New Roman" w:cs="Times New Roman"/>
          <w:i/>
          <w:iCs/>
        </w:rPr>
        <w:t>C</w:t>
      </w:r>
      <w:r w:rsidRPr="00A000C3">
        <w:rPr>
          <w:rFonts w:ascii="Times New Roman" w:hAnsi="Times New Roman" w:cs="Times New Roman"/>
          <w:i/>
          <w:iCs/>
        </w:rPr>
        <w:t xml:space="preserve">ostly </w:t>
      </w:r>
      <w:r w:rsidRPr="001841A5">
        <w:rPr>
          <w:rFonts w:ascii="Times New Roman" w:hAnsi="Times New Roman" w:cs="Times New Roman"/>
          <w:i/>
          <w:iCs/>
        </w:rPr>
        <w:t>A</w:t>
      </w:r>
      <w:r w:rsidRPr="00A000C3">
        <w:rPr>
          <w:rFonts w:ascii="Times New Roman" w:hAnsi="Times New Roman" w:cs="Times New Roman"/>
          <w:i/>
          <w:iCs/>
        </w:rPr>
        <w:t xml:space="preserve">nd </w:t>
      </w:r>
      <w:r w:rsidRPr="001841A5">
        <w:rPr>
          <w:rFonts w:ascii="Times New Roman" w:hAnsi="Times New Roman" w:cs="Times New Roman"/>
          <w:i/>
          <w:iCs/>
        </w:rPr>
        <w:t>H</w:t>
      </w:r>
      <w:r w:rsidRPr="00A000C3">
        <w:rPr>
          <w:rFonts w:ascii="Times New Roman" w:hAnsi="Times New Roman" w:cs="Times New Roman"/>
          <w:i/>
          <w:iCs/>
        </w:rPr>
        <w:t xml:space="preserve">armful </w:t>
      </w:r>
      <w:r w:rsidRPr="001841A5">
        <w:rPr>
          <w:rFonts w:ascii="Times New Roman" w:hAnsi="Times New Roman" w:cs="Times New Roman"/>
          <w:i/>
          <w:iCs/>
        </w:rPr>
        <w:t>T</w:t>
      </w:r>
      <w:r w:rsidRPr="00A000C3">
        <w:rPr>
          <w:rFonts w:ascii="Times New Roman" w:hAnsi="Times New Roman" w:cs="Times New Roman"/>
          <w:i/>
          <w:iCs/>
        </w:rPr>
        <w:t xml:space="preserve">han </w:t>
      </w:r>
      <w:r w:rsidRPr="001841A5">
        <w:rPr>
          <w:rFonts w:ascii="Times New Roman" w:hAnsi="Times New Roman" w:cs="Times New Roman"/>
          <w:i/>
          <w:iCs/>
        </w:rPr>
        <w:t>Treatment Mistakes</w:t>
      </w:r>
      <w:r w:rsidRPr="00A000C3">
        <w:rPr>
          <w:rFonts w:ascii="Times New Roman" w:hAnsi="Times New Roman" w:cs="Times New Roman"/>
        </w:rPr>
        <w:t xml:space="preserve">. https://www.hopkinsmedicine.org/-/media/armstrong-institute/documents/news/2013-4-23-diagnostic-errors-more-common.pdf </w:t>
      </w:r>
    </w:p>
    <w:p w14:paraId="682BA80F" w14:textId="77777777" w:rsidR="00D5134C" w:rsidRDefault="00D5134C" w:rsidP="00D5134C">
      <w:pPr>
        <w:spacing w:line="360" w:lineRule="auto"/>
        <w:rPr>
          <w:rFonts w:ascii="Times New Roman" w:hAnsi="Times New Roman" w:cs="Times New Roman"/>
        </w:rPr>
      </w:pPr>
    </w:p>
    <w:p w14:paraId="6DDB47A6" w14:textId="77777777" w:rsidR="00D5134C" w:rsidRPr="003414F4" w:rsidRDefault="00D5134C" w:rsidP="00D5134C">
      <w:pPr>
        <w:spacing w:line="360" w:lineRule="auto"/>
        <w:ind w:left="720" w:hanging="720"/>
        <w:rPr>
          <w:rFonts w:ascii="Times New Roman" w:hAnsi="Times New Roman" w:cs="Times New Roman"/>
        </w:rPr>
      </w:pPr>
      <w:r w:rsidRPr="00957AE1">
        <w:rPr>
          <w:rFonts w:ascii="Times New Roman" w:hAnsi="Times New Roman" w:cs="Times New Roman"/>
        </w:rPr>
        <w:t xml:space="preserve">Pandit, M. S., &amp; Pandit, S. (2009, July). </w:t>
      </w:r>
      <w:r w:rsidRPr="00957AE1">
        <w:rPr>
          <w:rFonts w:ascii="Times New Roman" w:hAnsi="Times New Roman" w:cs="Times New Roman"/>
          <w:i/>
          <w:iCs/>
        </w:rPr>
        <w:t>Medical negligence: Coverage of the profession, duties, ethics, case law, and Enlightened Defense - a legal perspective</w:t>
      </w:r>
      <w:r w:rsidRPr="00957AE1">
        <w:rPr>
          <w:rFonts w:ascii="Times New Roman" w:hAnsi="Times New Roman" w:cs="Times New Roman"/>
        </w:rPr>
        <w:t xml:space="preserve">. Indian journal of urology : IJU : journal of the Urological Society of India. https://pmc.ncbi.nlm.nih.gov/articles/PMC2779963/ </w:t>
      </w:r>
    </w:p>
    <w:p w14:paraId="337F1A25" w14:textId="77777777" w:rsidR="00D5134C" w:rsidRDefault="00D5134C" w:rsidP="00D5134C">
      <w:pPr>
        <w:spacing w:line="360" w:lineRule="auto"/>
        <w:ind w:left="720" w:hanging="720"/>
        <w:rPr>
          <w:rFonts w:ascii="Times New Roman" w:hAnsi="Times New Roman" w:cs="Times New Roman"/>
        </w:rPr>
      </w:pPr>
      <w:r w:rsidRPr="009F1312">
        <w:rPr>
          <w:rFonts w:ascii="Times New Roman" w:hAnsi="Times New Roman" w:cs="Times New Roman"/>
        </w:rPr>
        <w:t>Sigelman, K. (202</w:t>
      </w:r>
      <w:r>
        <w:rPr>
          <w:rFonts w:ascii="Times New Roman" w:hAnsi="Times New Roman" w:cs="Times New Roman"/>
        </w:rPr>
        <w:t>4</w:t>
      </w:r>
      <w:r w:rsidRPr="009F1312">
        <w:rPr>
          <w:rFonts w:ascii="Times New Roman" w:hAnsi="Times New Roman" w:cs="Times New Roman"/>
        </w:rPr>
        <w:t xml:space="preserve">, January 16). </w:t>
      </w:r>
      <w:r w:rsidRPr="009F1312">
        <w:rPr>
          <w:rFonts w:ascii="Times New Roman" w:hAnsi="Times New Roman" w:cs="Times New Roman"/>
          <w:i/>
          <w:iCs/>
        </w:rPr>
        <w:t>Medical malpractice statute of limitations by State (2024 updated)</w:t>
      </w:r>
      <w:r w:rsidRPr="009F1312">
        <w:rPr>
          <w:rFonts w:ascii="Times New Roman" w:hAnsi="Times New Roman" w:cs="Times New Roman"/>
        </w:rPr>
        <w:t>. Kenneth M. Sigelman &amp; Associates. https://sigelmanassociates.com/medical-malpractice-statute-of-limitations-by</w:t>
      </w:r>
      <w:r>
        <w:rPr>
          <w:rFonts w:ascii="Times New Roman" w:hAnsi="Times New Roman" w:cs="Times New Roman"/>
        </w:rPr>
        <w:t>-</w:t>
      </w:r>
      <w:r w:rsidRPr="009F1312">
        <w:rPr>
          <w:rFonts w:ascii="Times New Roman" w:hAnsi="Times New Roman" w:cs="Times New Roman"/>
        </w:rPr>
        <w:t xml:space="preserve">state/#:~:text=California%20%E2%80%93%203%20years%20from%20date,Delaware%20%E2%80%93%202%20years </w:t>
      </w:r>
    </w:p>
    <w:p w14:paraId="571AD2D1" w14:textId="77777777" w:rsidR="00D5134C" w:rsidRDefault="00D5134C" w:rsidP="00D5134C">
      <w:pPr>
        <w:spacing w:line="360" w:lineRule="auto"/>
        <w:ind w:left="720" w:hanging="720"/>
        <w:rPr>
          <w:rFonts w:ascii="Times New Roman" w:hAnsi="Times New Roman" w:cs="Times New Roman"/>
        </w:rPr>
      </w:pPr>
      <w:r w:rsidRPr="00F47880">
        <w:rPr>
          <w:rFonts w:ascii="Times New Roman" w:hAnsi="Times New Roman" w:cs="Times New Roman"/>
        </w:rPr>
        <w:t xml:space="preserve">Simon Law PC. (2024, September 11). </w:t>
      </w:r>
      <w:r w:rsidRPr="00F47880">
        <w:rPr>
          <w:rFonts w:ascii="Times New Roman" w:hAnsi="Times New Roman" w:cs="Times New Roman"/>
          <w:i/>
          <w:iCs/>
        </w:rPr>
        <w:t>Duty of care &amp; medical negligence: Your rights, their responsibility</w:t>
      </w:r>
      <w:r w:rsidRPr="00F47880">
        <w:rPr>
          <w:rFonts w:ascii="Times New Roman" w:hAnsi="Times New Roman" w:cs="Times New Roman"/>
        </w:rPr>
        <w:t xml:space="preserve">. https://simonlawpc.com/medical-malpractice/duty-of-care-medical-negligence/ </w:t>
      </w:r>
    </w:p>
    <w:p w14:paraId="6B79664A" w14:textId="77777777" w:rsidR="00D5134C" w:rsidRPr="00F47880" w:rsidRDefault="00D5134C" w:rsidP="00D5134C">
      <w:pPr>
        <w:spacing w:line="360" w:lineRule="auto"/>
        <w:ind w:left="720" w:hanging="720"/>
        <w:rPr>
          <w:rFonts w:ascii="Times New Roman" w:hAnsi="Times New Roman" w:cs="Times New Roman"/>
        </w:rPr>
      </w:pPr>
      <w:r w:rsidRPr="002710A6">
        <w:rPr>
          <w:rFonts w:ascii="Times New Roman" w:hAnsi="Times New Roman" w:cs="Times New Roman"/>
          <w:i/>
          <w:iCs/>
        </w:rPr>
        <w:t>The ethics of medical malpractice and the duty of care</w:t>
      </w:r>
      <w:r w:rsidRPr="002710A6">
        <w:rPr>
          <w:rFonts w:ascii="Times New Roman" w:hAnsi="Times New Roman" w:cs="Times New Roman"/>
        </w:rPr>
        <w:t xml:space="preserve">. (2023, June 16). Alpert Schreyer Personal Injury Lawyers. https://dcmdlaw.com/blog/the-ethics-of-medical-malpractice-and-the-duty-of-care/ </w:t>
      </w:r>
    </w:p>
    <w:p w14:paraId="21A03CEA" w14:textId="77777777" w:rsidR="00D5134C" w:rsidRDefault="00D5134C" w:rsidP="00D5134C">
      <w:pPr>
        <w:spacing w:line="360" w:lineRule="auto"/>
        <w:ind w:left="720" w:hanging="720"/>
        <w:rPr>
          <w:rFonts w:ascii="Times New Roman" w:hAnsi="Times New Roman" w:cs="Times New Roman"/>
        </w:rPr>
      </w:pPr>
      <w:r w:rsidRPr="00BF4073">
        <w:rPr>
          <w:rFonts w:ascii="Times New Roman" w:hAnsi="Times New Roman" w:cs="Times New Roman"/>
        </w:rPr>
        <w:t xml:space="preserve">Weiss &amp; Paarz. (n.d.). </w:t>
      </w:r>
      <w:r w:rsidRPr="00BF4073">
        <w:rPr>
          <w:rFonts w:ascii="Times New Roman" w:hAnsi="Times New Roman" w:cs="Times New Roman"/>
          <w:i/>
          <w:iCs/>
        </w:rPr>
        <w:t>The history of Medical Malpractice</w:t>
      </w:r>
      <w:r w:rsidRPr="00BF4073">
        <w:rPr>
          <w:rFonts w:ascii="Times New Roman" w:hAnsi="Times New Roman" w:cs="Times New Roman"/>
        </w:rPr>
        <w:t xml:space="preserve">. https://www.weisspaarz.com/history-of-medical-malpractice/ </w:t>
      </w:r>
    </w:p>
    <w:p w14:paraId="14E8716A" w14:textId="65FF9EB4" w:rsidR="0088349A" w:rsidRDefault="00D5134C" w:rsidP="006547C9">
      <w:pPr>
        <w:spacing w:line="360" w:lineRule="auto"/>
        <w:ind w:left="720" w:hanging="720"/>
        <w:rPr>
          <w:rFonts w:ascii="Times New Roman" w:hAnsi="Times New Roman" w:cs="Times New Roman"/>
        </w:rPr>
      </w:pPr>
      <w:r w:rsidRPr="00CF46FA">
        <w:rPr>
          <w:rFonts w:ascii="Times New Roman" w:hAnsi="Times New Roman" w:cs="Times New Roman"/>
        </w:rPr>
        <w:t xml:space="preserve">Wolters Kluwer. (n.d.). </w:t>
      </w:r>
      <w:r w:rsidRPr="00CF46FA">
        <w:rPr>
          <w:rFonts w:ascii="Times New Roman" w:hAnsi="Times New Roman" w:cs="Times New Roman"/>
          <w:i/>
          <w:iCs/>
        </w:rPr>
        <w:t>CCH ANSWERCONNECT: Wolters Kluwer</w:t>
      </w:r>
      <w:r w:rsidRPr="00CF46FA">
        <w:rPr>
          <w:rFonts w:ascii="Times New Roman" w:hAnsi="Times New Roman" w:cs="Times New Roman"/>
        </w:rPr>
        <w:t>. CCH AnswerConnect</w:t>
      </w:r>
      <w:r>
        <w:rPr>
          <w:rFonts w:ascii="Times New Roman" w:hAnsi="Times New Roman" w:cs="Times New Roman"/>
        </w:rPr>
        <w:t xml:space="preserve">. </w:t>
      </w:r>
      <w:r w:rsidRPr="00CF46FA">
        <w:rPr>
          <w:rFonts w:ascii="Times New Roman" w:hAnsi="Times New Roman" w:cs="Times New Roman"/>
        </w:rPr>
        <w:t xml:space="preserve">https://answerconnect.cch.com/topic/b174e9ec7d17100082b690b11c18c902013/malpractice-insurance-expenses </w:t>
      </w:r>
    </w:p>
    <w:p w14:paraId="1201950E" w14:textId="77777777" w:rsidR="006547C9" w:rsidRDefault="006547C9" w:rsidP="006547C9">
      <w:pPr>
        <w:spacing w:line="360" w:lineRule="auto"/>
        <w:ind w:left="720" w:hanging="720"/>
        <w:rPr>
          <w:rFonts w:ascii="Times New Roman" w:hAnsi="Times New Roman" w:cs="Times New Roman"/>
        </w:rPr>
      </w:pPr>
    </w:p>
    <w:p w14:paraId="1DBB5FF3" w14:textId="77777777" w:rsidR="006547C9" w:rsidRPr="00573554" w:rsidRDefault="006547C9" w:rsidP="006547C9">
      <w:pPr>
        <w:spacing w:line="360" w:lineRule="auto"/>
        <w:ind w:left="720" w:hanging="720"/>
        <w:rPr>
          <w:rFonts w:ascii="Times New Roman" w:hAnsi="Times New Roman" w:cs="Times New Roman"/>
          <w:sz w:val="24"/>
          <w:szCs w:val="24"/>
        </w:rPr>
      </w:pPr>
    </w:p>
    <w:p w14:paraId="2BC11ED6" w14:textId="10CC247D" w:rsidR="0088349A" w:rsidRPr="00573554" w:rsidRDefault="0088349A" w:rsidP="0040744D">
      <w:pPr>
        <w:ind w:left="360"/>
        <w:rPr>
          <w:rFonts w:ascii="Times New Roman" w:hAnsi="Times New Roman" w:cs="Times New Roman"/>
          <w:sz w:val="24"/>
          <w:szCs w:val="24"/>
          <w:u w:val="single"/>
        </w:rPr>
      </w:pPr>
      <w:r w:rsidRPr="00573554">
        <w:rPr>
          <w:rFonts w:ascii="Times New Roman" w:hAnsi="Times New Roman" w:cs="Times New Roman"/>
          <w:sz w:val="24"/>
          <w:szCs w:val="24"/>
          <w:u w:val="single"/>
        </w:rPr>
        <w:lastRenderedPageBreak/>
        <w:t>2:</w:t>
      </w:r>
      <w:r w:rsidR="006D7D26" w:rsidRPr="00573554">
        <w:rPr>
          <w:rFonts w:ascii="Times New Roman" w:hAnsi="Times New Roman" w:cs="Times New Roman"/>
          <w:sz w:val="24"/>
          <w:szCs w:val="24"/>
          <w:u w:val="single"/>
        </w:rPr>
        <w:t>2</w:t>
      </w:r>
      <w:r w:rsidR="00787FCE">
        <w:rPr>
          <w:rFonts w:ascii="Times New Roman" w:hAnsi="Times New Roman" w:cs="Times New Roman"/>
          <w:sz w:val="24"/>
          <w:szCs w:val="24"/>
          <w:u w:val="single"/>
        </w:rPr>
        <w:t>5</w:t>
      </w:r>
      <w:r w:rsidRPr="00573554">
        <w:rPr>
          <w:rFonts w:ascii="Times New Roman" w:hAnsi="Times New Roman" w:cs="Times New Roman"/>
          <w:sz w:val="24"/>
          <w:szCs w:val="24"/>
          <w:u w:val="single"/>
        </w:rPr>
        <w:t xml:space="preserve"> – 2:</w:t>
      </w:r>
      <w:r w:rsidR="006D7D26" w:rsidRPr="00573554">
        <w:rPr>
          <w:rFonts w:ascii="Times New Roman" w:hAnsi="Times New Roman" w:cs="Times New Roman"/>
          <w:sz w:val="24"/>
          <w:szCs w:val="24"/>
          <w:u w:val="single"/>
        </w:rPr>
        <w:t>45</w:t>
      </w:r>
      <w:r w:rsidRPr="00573554">
        <w:rPr>
          <w:rFonts w:ascii="Times New Roman" w:hAnsi="Times New Roman" w:cs="Times New Roman"/>
          <w:sz w:val="24"/>
          <w:szCs w:val="24"/>
          <w:u w:val="single"/>
        </w:rPr>
        <w:t xml:space="preserve"> Jill </w:t>
      </w:r>
      <w:r w:rsidR="00614715" w:rsidRPr="00573554">
        <w:rPr>
          <w:rFonts w:ascii="Times New Roman" w:hAnsi="Times New Roman" w:cs="Times New Roman"/>
          <w:sz w:val="24"/>
          <w:szCs w:val="24"/>
          <w:u w:val="single"/>
        </w:rPr>
        <w:t xml:space="preserve">M. </w:t>
      </w:r>
      <w:r w:rsidRPr="00573554">
        <w:rPr>
          <w:rFonts w:ascii="Times New Roman" w:hAnsi="Times New Roman" w:cs="Times New Roman"/>
          <w:sz w:val="24"/>
          <w:szCs w:val="24"/>
          <w:u w:val="single"/>
        </w:rPr>
        <w:t>Bisco</w:t>
      </w:r>
      <w:r w:rsidR="005F4605" w:rsidRPr="00573554">
        <w:rPr>
          <w:rFonts w:ascii="Times New Roman" w:hAnsi="Times New Roman" w:cs="Times New Roman"/>
          <w:sz w:val="24"/>
          <w:szCs w:val="24"/>
          <w:u w:val="single"/>
        </w:rPr>
        <w:t>, Illinois State University</w:t>
      </w:r>
      <w:r w:rsidR="00625F35" w:rsidRPr="00573554">
        <w:rPr>
          <w:rFonts w:ascii="Times New Roman" w:hAnsi="Times New Roman" w:cs="Times New Roman"/>
          <w:sz w:val="24"/>
          <w:szCs w:val="24"/>
          <w:u w:val="single"/>
        </w:rPr>
        <w:t xml:space="preserve"> and Suzanne Gradisher</w:t>
      </w:r>
      <w:r w:rsidR="00EA174F" w:rsidRPr="00573554">
        <w:rPr>
          <w:rFonts w:ascii="Times New Roman" w:hAnsi="Times New Roman" w:cs="Times New Roman"/>
          <w:sz w:val="24"/>
          <w:szCs w:val="24"/>
          <w:u w:val="single"/>
        </w:rPr>
        <w:t>,</w:t>
      </w:r>
      <w:r w:rsidR="00625F35" w:rsidRPr="00573554">
        <w:rPr>
          <w:rFonts w:ascii="Times New Roman" w:hAnsi="Times New Roman" w:cs="Times New Roman"/>
          <w:sz w:val="24"/>
          <w:szCs w:val="24"/>
          <w:u w:val="single"/>
        </w:rPr>
        <w:t xml:space="preserve"> The University of Akron, Presented by Jill </w:t>
      </w:r>
      <w:r w:rsidR="00614715" w:rsidRPr="00573554">
        <w:rPr>
          <w:rFonts w:ascii="Times New Roman" w:hAnsi="Times New Roman" w:cs="Times New Roman"/>
          <w:sz w:val="24"/>
          <w:szCs w:val="24"/>
          <w:u w:val="single"/>
        </w:rPr>
        <w:t xml:space="preserve">M. </w:t>
      </w:r>
      <w:r w:rsidR="00625F35" w:rsidRPr="00573554">
        <w:rPr>
          <w:rFonts w:ascii="Times New Roman" w:hAnsi="Times New Roman" w:cs="Times New Roman"/>
          <w:sz w:val="24"/>
          <w:szCs w:val="24"/>
          <w:u w:val="single"/>
        </w:rPr>
        <w:t>Bisco</w:t>
      </w:r>
      <w:r w:rsidR="005F4605" w:rsidRPr="00573554">
        <w:rPr>
          <w:rFonts w:ascii="Times New Roman" w:hAnsi="Times New Roman" w:cs="Times New Roman"/>
          <w:sz w:val="24"/>
          <w:szCs w:val="24"/>
          <w:u w:val="single"/>
        </w:rPr>
        <w:t xml:space="preserve"> </w:t>
      </w:r>
      <w:r w:rsidRPr="00573554">
        <w:rPr>
          <w:rFonts w:ascii="Times New Roman" w:hAnsi="Times New Roman" w:cs="Times New Roman"/>
          <w:sz w:val="24"/>
          <w:szCs w:val="24"/>
          <w:u w:val="single"/>
        </w:rPr>
        <w:t xml:space="preserve"> </w:t>
      </w:r>
    </w:p>
    <w:p w14:paraId="2CF13926" w14:textId="77777777" w:rsidR="00C00C60" w:rsidRPr="00573554" w:rsidRDefault="00C00C60" w:rsidP="0002500C">
      <w:pPr>
        <w:ind w:left="720"/>
        <w:rPr>
          <w:rFonts w:ascii="Times New Roman" w:hAnsi="Times New Roman" w:cs="Times New Roman"/>
          <w:b/>
          <w:bCs/>
          <w:sz w:val="24"/>
          <w:szCs w:val="24"/>
        </w:rPr>
      </w:pPr>
      <w:r w:rsidRPr="00573554">
        <w:rPr>
          <w:rFonts w:ascii="Times New Roman" w:hAnsi="Times New Roman" w:cs="Times New Roman"/>
          <w:b/>
          <w:bCs/>
          <w:sz w:val="24"/>
          <w:szCs w:val="24"/>
        </w:rPr>
        <w:t>The Hidden Risks for Your Clients Who Serve as Volunteer Emergency Responders</w:t>
      </w:r>
    </w:p>
    <w:p w14:paraId="3C52C31E" w14:textId="6C47B8BB" w:rsidR="0002500C" w:rsidRPr="00573554" w:rsidRDefault="00412023" w:rsidP="005F5B8B">
      <w:pPr>
        <w:spacing w:after="0" w:line="240" w:lineRule="auto"/>
        <w:ind w:firstLine="720"/>
        <w:jc w:val="center"/>
        <w:rPr>
          <w:rFonts w:ascii="Times New Roman" w:eastAsia="Calibri" w:hAnsi="Times New Roman" w:cs="Times New Roman"/>
          <w:b/>
          <w:bCs/>
          <w:sz w:val="24"/>
          <w:szCs w:val="24"/>
        </w:rPr>
      </w:pPr>
      <w:r w:rsidRPr="00573554">
        <w:rPr>
          <w:rFonts w:ascii="Times New Roman" w:eastAsia="Calibri" w:hAnsi="Times New Roman" w:cs="Times New Roman"/>
          <w:b/>
          <w:bCs/>
          <w:sz w:val="24"/>
          <w:szCs w:val="24"/>
        </w:rPr>
        <w:t>ABSTRACT</w:t>
      </w:r>
    </w:p>
    <w:p w14:paraId="6DEE5199" w14:textId="7B5DACE9" w:rsidR="0002500C" w:rsidRPr="00573554" w:rsidRDefault="0002500C" w:rsidP="0002500C">
      <w:pPr>
        <w:ind w:left="720"/>
        <w:rPr>
          <w:rFonts w:ascii="Times New Roman" w:hAnsi="Times New Roman" w:cs="Times New Roman"/>
          <w:sz w:val="24"/>
          <w:szCs w:val="24"/>
        </w:rPr>
      </w:pPr>
      <w:r w:rsidRPr="00573554">
        <w:rPr>
          <w:rFonts w:ascii="Times New Roman" w:hAnsi="Times New Roman" w:cs="Times New Roman"/>
          <w:sz w:val="24"/>
          <w:szCs w:val="24"/>
        </w:rPr>
        <w:t xml:space="preserve">This article aims to inform financial services providers about the potential issues their clients may face if they work full-time in a career </w:t>
      </w:r>
      <w:r w:rsidR="00BA3C45" w:rsidRPr="00573554">
        <w:rPr>
          <w:rFonts w:ascii="Times New Roman" w:hAnsi="Times New Roman" w:cs="Times New Roman"/>
          <w:sz w:val="24"/>
          <w:szCs w:val="24"/>
        </w:rPr>
        <w:t>and</w:t>
      </w:r>
      <w:r w:rsidRPr="00573554">
        <w:rPr>
          <w:rFonts w:ascii="Times New Roman" w:hAnsi="Times New Roman" w:cs="Times New Roman"/>
          <w:sz w:val="24"/>
          <w:szCs w:val="24"/>
        </w:rPr>
        <w:t xml:space="preserve"> serve as volunteer emergency firefighters or medical emergency personnel. With volunteers comprising 65% of firefighters in the United States, it is crucial to understand the implications for workers' compensation and financial stability. This article explores the legal complexities, potential financial risks, and the varying state-specific regulations that impact these volunteers. By highlighting key cases and providing practical insights, this article seeks to equip financial services providers with the knowledge to better serve their clients who dedicate their time to emergency services.</w:t>
      </w:r>
    </w:p>
    <w:p w14:paraId="5D3D95BA" w14:textId="77777777" w:rsidR="005B798B" w:rsidRPr="00573554" w:rsidRDefault="005B798B" w:rsidP="00C76F64">
      <w:pPr>
        <w:spacing w:after="0" w:line="240" w:lineRule="auto"/>
        <w:rPr>
          <w:rFonts w:ascii="Times New Roman" w:eastAsia="Calibri" w:hAnsi="Times New Roman" w:cs="Times New Roman"/>
          <w:b/>
          <w:bCs/>
          <w:iCs/>
          <w:sz w:val="24"/>
          <w:szCs w:val="24"/>
        </w:rPr>
      </w:pPr>
    </w:p>
    <w:p w14:paraId="5769190E" w14:textId="0C46486A" w:rsidR="00581736" w:rsidRPr="00573554" w:rsidRDefault="00394302" w:rsidP="00C76F64">
      <w:pPr>
        <w:spacing w:after="0" w:line="240" w:lineRule="auto"/>
        <w:rPr>
          <w:rFonts w:ascii="Times New Roman" w:eastAsia="Calibri" w:hAnsi="Times New Roman" w:cs="Times New Roman"/>
          <w:b/>
          <w:bCs/>
          <w:iCs/>
          <w:color w:val="EE0000"/>
          <w:sz w:val="24"/>
          <w:szCs w:val="24"/>
        </w:rPr>
      </w:pPr>
      <w:r w:rsidRPr="00573554">
        <w:rPr>
          <w:rFonts w:ascii="Times New Roman" w:eastAsia="Calibri" w:hAnsi="Times New Roman" w:cs="Times New Roman"/>
          <w:b/>
          <w:bCs/>
          <w:iCs/>
          <w:color w:val="EE0000"/>
          <w:sz w:val="24"/>
          <w:szCs w:val="24"/>
        </w:rPr>
        <w:t>2:</w:t>
      </w:r>
      <w:r w:rsidR="006D7D26" w:rsidRPr="00573554">
        <w:rPr>
          <w:rFonts w:ascii="Times New Roman" w:eastAsia="Calibri" w:hAnsi="Times New Roman" w:cs="Times New Roman"/>
          <w:b/>
          <w:bCs/>
          <w:iCs/>
          <w:color w:val="EE0000"/>
          <w:sz w:val="24"/>
          <w:szCs w:val="24"/>
        </w:rPr>
        <w:t>45</w:t>
      </w:r>
      <w:r w:rsidRPr="00573554">
        <w:rPr>
          <w:rFonts w:ascii="Times New Roman" w:eastAsia="Calibri" w:hAnsi="Times New Roman" w:cs="Times New Roman"/>
          <w:b/>
          <w:bCs/>
          <w:iCs/>
          <w:color w:val="EE0000"/>
          <w:sz w:val="24"/>
          <w:szCs w:val="24"/>
        </w:rPr>
        <w:t>-</w:t>
      </w:r>
      <w:r w:rsidR="00581736" w:rsidRPr="00573554">
        <w:rPr>
          <w:rFonts w:ascii="Times New Roman" w:eastAsia="Calibri" w:hAnsi="Times New Roman" w:cs="Times New Roman"/>
          <w:b/>
          <w:bCs/>
          <w:iCs/>
          <w:color w:val="EE0000"/>
          <w:sz w:val="24"/>
          <w:szCs w:val="24"/>
        </w:rPr>
        <w:t>3:0</w:t>
      </w:r>
      <w:r w:rsidR="006D7D26" w:rsidRPr="00573554">
        <w:rPr>
          <w:rFonts w:ascii="Times New Roman" w:eastAsia="Calibri" w:hAnsi="Times New Roman" w:cs="Times New Roman"/>
          <w:b/>
          <w:bCs/>
          <w:iCs/>
          <w:color w:val="EE0000"/>
          <w:sz w:val="24"/>
          <w:szCs w:val="24"/>
        </w:rPr>
        <w:t>0</w:t>
      </w:r>
      <w:r w:rsidR="00581736" w:rsidRPr="00573554">
        <w:rPr>
          <w:rFonts w:ascii="Times New Roman" w:eastAsia="Calibri" w:hAnsi="Times New Roman" w:cs="Times New Roman"/>
          <w:b/>
          <w:bCs/>
          <w:iCs/>
          <w:color w:val="EE0000"/>
          <w:sz w:val="24"/>
          <w:szCs w:val="24"/>
        </w:rPr>
        <w:t xml:space="preserve"> Break</w:t>
      </w:r>
      <w:r w:rsidR="00097724" w:rsidRPr="00573554">
        <w:rPr>
          <w:rFonts w:ascii="Times New Roman" w:eastAsia="Calibri" w:hAnsi="Times New Roman" w:cs="Times New Roman"/>
          <w:b/>
          <w:bCs/>
          <w:iCs/>
          <w:color w:val="EE0000"/>
          <w:sz w:val="24"/>
          <w:szCs w:val="24"/>
        </w:rPr>
        <w:t xml:space="preserve"> </w:t>
      </w:r>
      <w:r w:rsidR="00673244">
        <w:rPr>
          <w:rFonts w:ascii="Times New Roman" w:eastAsia="Calibri" w:hAnsi="Times New Roman" w:cs="Times New Roman"/>
          <w:b/>
          <w:bCs/>
          <w:iCs/>
          <w:color w:val="EE0000"/>
          <w:sz w:val="24"/>
          <w:szCs w:val="24"/>
        </w:rPr>
        <w:t xml:space="preserve">(snacks in </w:t>
      </w:r>
    </w:p>
    <w:p w14:paraId="353A4B5C" w14:textId="77777777" w:rsidR="005A0865" w:rsidRPr="00573554" w:rsidRDefault="005A0865" w:rsidP="00C76F64">
      <w:pPr>
        <w:spacing w:after="0" w:line="240" w:lineRule="auto"/>
        <w:rPr>
          <w:rFonts w:ascii="Times New Roman" w:eastAsia="Calibri" w:hAnsi="Times New Roman" w:cs="Times New Roman"/>
          <w:b/>
          <w:bCs/>
          <w:iCs/>
          <w:sz w:val="24"/>
          <w:szCs w:val="24"/>
        </w:rPr>
      </w:pPr>
    </w:p>
    <w:p w14:paraId="69D1F6B9" w14:textId="366CBC08" w:rsidR="00581736" w:rsidRPr="00573554" w:rsidRDefault="00581736" w:rsidP="00C76F64">
      <w:pPr>
        <w:spacing w:after="0" w:line="240" w:lineRule="auto"/>
        <w:rPr>
          <w:rFonts w:ascii="Times New Roman" w:eastAsia="Calibri" w:hAnsi="Times New Roman" w:cs="Times New Roman"/>
          <w:b/>
          <w:bCs/>
          <w:iCs/>
          <w:sz w:val="24"/>
          <w:szCs w:val="24"/>
        </w:rPr>
      </w:pPr>
      <w:r w:rsidRPr="00573554">
        <w:rPr>
          <w:rFonts w:ascii="Times New Roman" w:eastAsia="Calibri" w:hAnsi="Times New Roman" w:cs="Times New Roman"/>
          <w:b/>
          <w:bCs/>
          <w:iCs/>
          <w:sz w:val="24"/>
          <w:szCs w:val="24"/>
        </w:rPr>
        <w:t>3:</w:t>
      </w:r>
      <w:r w:rsidR="00D277E3" w:rsidRPr="00573554">
        <w:rPr>
          <w:rFonts w:ascii="Times New Roman" w:eastAsia="Calibri" w:hAnsi="Times New Roman" w:cs="Times New Roman"/>
          <w:b/>
          <w:bCs/>
          <w:iCs/>
          <w:sz w:val="24"/>
          <w:szCs w:val="24"/>
        </w:rPr>
        <w:t>0</w:t>
      </w:r>
      <w:r w:rsidR="006D7D26" w:rsidRPr="00573554">
        <w:rPr>
          <w:rFonts w:ascii="Times New Roman" w:eastAsia="Calibri" w:hAnsi="Times New Roman" w:cs="Times New Roman"/>
          <w:b/>
          <w:bCs/>
          <w:iCs/>
          <w:sz w:val="24"/>
          <w:szCs w:val="24"/>
        </w:rPr>
        <w:t>0</w:t>
      </w:r>
      <w:r w:rsidRPr="00573554">
        <w:rPr>
          <w:rFonts w:ascii="Times New Roman" w:eastAsia="Calibri" w:hAnsi="Times New Roman" w:cs="Times New Roman"/>
          <w:b/>
          <w:bCs/>
          <w:iCs/>
          <w:sz w:val="24"/>
          <w:szCs w:val="24"/>
        </w:rPr>
        <w:t xml:space="preserve"> – 5:</w:t>
      </w:r>
      <w:r w:rsidR="00135B0F" w:rsidRPr="00573554">
        <w:rPr>
          <w:rFonts w:ascii="Times New Roman" w:eastAsia="Calibri" w:hAnsi="Times New Roman" w:cs="Times New Roman"/>
          <w:b/>
          <w:bCs/>
          <w:iCs/>
          <w:sz w:val="24"/>
          <w:szCs w:val="24"/>
        </w:rPr>
        <w:t>00</w:t>
      </w:r>
      <w:r w:rsidRPr="00573554">
        <w:rPr>
          <w:rFonts w:ascii="Times New Roman" w:eastAsia="Calibri" w:hAnsi="Times New Roman" w:cs="Times New Roman"/>
          <w:b/>
          <w:bCs/>
          <w:iCs/>
          <w:sz w:val="24"/>
          <w:szCs w:val="24"/>
        </w:rPr>
        <w:t xml:space="preserve"> SESSION 2</w:t>
      </w:r>
    </w:p>
    <w:p w14:paraId="477618F8" w14:textId="77777777" w:rsidR="00D277E3" w:rsidRPr="00573554" w:rsidRDefault="00D277E3" w:rsidP="00C76F64">
      <w:pPr>
        <w:spacing w:after="0" w:line="240" w:lineRule="auto"/>
        <w:rPr>
          <w:rFonts w:ascii="Times New Roman" w:eastAsia="Calibri" w:hAnsi="Times New Roman" w:cs="Times New Roman"/>
          <w:b/>
          <w:bCs/>
          <w:iCs/>
          <w:sz w:val="24"/>
          <w:szCs w:val="24"/>
        </w:rPr>
      </w:pPr>
    </w:p>
    <w:p w14:paraId="3B46D7DF" w14:textId="63AC9F0E" w:rsidR="00D277E3" w:rsidRPr="00573554" w:rsidRDefault="00D277E3" w:rsidP="00CA324B">
      <w:pPr>
        <w:ind w:left="360"/>
        <w:rPr>
          <w:rFonts w:ascii="Times New Roman" w:hAnsi="Times New Roman" w:cs="Times New Roman"/>
          <w:sz w:val="24"/>
          <w:szCs w:val="24"/>
          <w:u w:val="single"/>
        </w:rPr>
      </w:pPr>
      <w:r w:rsidRPr="00573554">
        <w:rPr>
          <w:rFonts w:ascii="Times New Roman" w:hAnsi="Times New Roman" w:cs="Times New Roman"/>
          <w:sz w:val="24"/>
          <w:szCs w:val="24"/>
          <w:u w:val="single"/>
        </w:rPr>
        <w:t>3:0</w:t>
      </w:r>
      <w:r w:rsidR="006D7D26" w:rsidRPr="00573554">
        <w:rPr>
          <w:rFonts w:ascii="Times New Roman" w:hAnsi="Times New Roman" w:cs="Times New Roman"/>
          <w:sz w:val="24"/>
          <w:szCs w:val="24"/>
          <w:u w:val="single"/>
        </w:rPr>
        <w:t>0</w:t>
      </w:r>
      <w:r w:rsidRPr="00573554">
        <w:rPr>
          <w:rFonts w:ascii="Times New Roman" w:hAnsi="Times New Roman" w:cs="Times New Roman"/>
          <w:sz w:val="24"/>
          <w:szCs w:val="24"/>
          <w:u w:val="single"/>
        </w:rPr>
        <w:t xml:space="preserve"> – 3:</w:t>
      </w:r>
      <w:r w:rsidR="00591BBD" w:rsidRPr="00573554">
        <w:rPr>
          <w:rFonts w:ascii="Times New Roman" w:hAnsi="Times New Roman" w:cs="Times New Roman"/>
          <w:sz w:val="24"/>
          <w:szCs w:val="24"/>
          <w:u w:val="single"/>
        </w:rPr>
        <w:t>20</w:t>
      </w:r>
      <w:r w:rsidR="00487652" w:rsidRPr="00573554">
        <w:rPr>
          <w:rFonts w:ascii="Times New Roman" w:hAnsi="Times New Roman" w:cs="Times New Roman"/>
          <w:sz w:val="24"/>
          <w:szCs w:val="24"/>
          <w:u w:val="single"/>
        </w:rPr>
        <w:t xml:space="preserve"> </w:t>
      </w:r>
      <w:r w:rsidRPr="00573554">
        <w:rPr>
          <w:rFonts w:ascii="Times New Roman" w:hAnsi="Times New Roman" w:cs="Times New Roman"/>
          <w:sz w:val="24"/>
          <w:szCs w:val="24"/>
          <w:u w:val="single"/>
        </w:rPr>
        <w:t>Annette</w:t>
      </w:r>
      <w:r w:rsidR="00A951F6" w:rsidRPr="00573554">
        <w:rPr>
          <w:rFonts w:ascii="Times New Roman" w:hAnsi="Times New Roman" w:cs="Times New Roman"/>
          <w:sz w:val="24"/>
          <w:szCs w:val="24"/>
          <w:u w:val="single"/>
        </w:rPr>
        <w:t xml:space="preserve"> </w:t>
      </w:r>
      <w:r w:rsidR="00E32FD3" w:rsidRPr="00573554">
        <w:rPr>
          <w:rFonts w:ascii="Times New Roman" w:hAnsi="Times New Roman" w:cs="Times New Roman"/>
          <w:sz w:val="24"/>
          <w:szCs w:val="24"/>
          <w:u w:val="single"/>
        </w:rPr>
        <w:t>Redmon</w:t>
      </w:r>
      <w:r w:rsidR="00E22A8C" w:rsidRPr="00573554">
        <w:rPr>
          <w:rFonts w:ascii="Times New Roman" w:hAnsi="Times New Roman" w:cs="Times New Roman"/>
          <w:sz w:val="24"/>
          <w:szCs w:val="24"/>
          <w:u w:val="single"/>
        </w:rPr>
        <w:t xml:space="preserve">, University of </w:t>
      </w:r>
      <w:r w:rsidR="00A1678F" w:rsidRPr="00573554">
        <w:rPr>
          <w:rFonts w:ascii="Times New Roman" w:hAnsi="Times New Roman" w:cs="Times New Roman"/>
          <w:sz w:val="24"/>
          <w:szCs w:val="24"/>
          <w:u w:val="single"/>
        </w:rPr>
        <w:t>Cincinnati – UC Blue Ash College</w:t>
      </w:r>
      <w:r w:rsidR="00916B6F" w:rsidRPr="00573554">
        <w:rPr>
          <w:rFonts w:ascii="Times New Roman" w:hAnsi="Times New Roman" w:cs="Times New Roman"/>
          <w:sz w:val="24"/>
          <w:szCs w:val="24"/>
          <w:u w:val="single"/>
        </w:rPr>
        <w:t xml:space="preserve"> &amp;</w:t>
      </w:r>
      <w:r w:rsidR="00436045" w:rsidRPr="00573554">
        <w:rPr>
          <w:rFonts w:ascii="Times New Roman" w:hAnsi="Times New Roman" w:cs="Times New Roman"/>
          <w:sz w:val="24"/>
          <w:szCs w:val="24"/>
          <w:u w:val="single"/>
        </w:rPr>
        <w:t xml:space="preserve"> </w:t>
      </w:r>
      <w:r w:rsidRPr="00573554">
        <w:rPr>
          <w:rFonts w:ascii="Times New Roman" w:hAnsi="Times New Roman" w:cs="Times New Roman"/>
          <w:sz w:val="24"/>
          <w:szCs w:val="24"/>
          <w:u w:val="single"/>
        </w:rPr>
        <w:t>Patrick</w:t>
      </w:r>
      <w:r w:rsidR="00382364" w:rsidRPr="00573554">
        <w:rPr>
          <w:rFonts w:ascii="Times New Roman" w:hAnsi="Times New Roman" w:cs="Times New Roman"/>
          <w:sz w:val="24"/>
          <w:szCs w:val="24"/>
          <w:u w:val="single"/>
        </w:rPr>
        <w:t xml:space="preserve"> </w:t>
      </w:r>
      <w:r w:rsidR="00916B6F" w:rsidRPr="00573554">
        <w:rPr>
          <w:rFonts w:ascii="Times New Roman" w:hAnsi="Times New Roman" w:cs="Times New Roman"/>
          <w:sz w:val="24"/>
          <w:szCs w:val="24"/>
          <w:u w:val="single"/>
        </w:rPr>
        <w:t xml:space="preserve"> </w:t>
      </w:r>
      <w:r w:rsidR="00CA324B" w:rsidRPr="00573554">
        <w:rPr>
          <w:rFonts w:ascii="Times New Roman" w:hAnsi="Times New Roman" w:cs="Times New Roman"/>
          <w:sz w:val="24"/>
          <w:szCs w:val="24"/>
          <w:u w:val="single"/>
        </w:rPr>
        <w:t xml:space="preserve"> </w:t>
      </w:r>
      <w:r w:rsidR="004628BC" w:rsidRPr="00573554">
        <w:rPr>
          <w:rFonts w:ascii="Times New Roman" w:hAnsi="Times New Roman" w:cs="Times New Roman"/>
          <w:sz w:val="24"/>
          <w:szCs w:val="24"/>
          <w:u w:val="single"/>
        </w:rPr>
        <w:t>Redmon,</w:t>
      </w:r>
      <w:r w:rsidR="00CA324B" w:rsidRPr="00573554">
        <w:rPr>
          <w:rFonts w:ascii="Times New Roman" w:hAnsi="Times New Roman" w:cs="Times New Roman"/>
          <w:sz w:val="24"/>
          <w:szCs w:val="24"/>
          <w:u w:val="single"/>
        </w:rPr>
        <w:t xml:space="preserve"> </w:t>
      </w:r>
      <w:r w:rsidR="004628BC" w:rsidRPr="00573554">
        <w:rPr>
          <w:rFonts w:ascii="Times New Roman" w:hAnsi="Times New Roman" w:cs="Times New Roman"/>
          <w:sz w:val="24"/>
          <w:szCs w:val="24"/>
          <w:u w:val="single"/>
        </w:rPr>
        <w:t>Berkeley Research Group, LLC</w:t>
      </w:r>
    </w:p>
    <w:p w14:paraId="51C4F942" w14:textId="77777777" w:rsidR="006B0118" w:rsidRPr="00573554" w:rsidRDefault="006B0118" w:rsidP="00FB7A6E">
      <w:pPr>
        <w:tabs>
          <w:tab w:val="num" w:pos="1080"/>
        </w:tabs>
        <w:ind w:firstLine="720"/>
        <w:rPr>
          <w:rFonts w:ascii="Times New Roman" w:hAnsi="Times New Roman" w:cs="Times New Roman"/>
          <w:b/>
          <w:bCs/>
          <w:sz w:val="24"/>
          <w:szCs w:val="24"/>
        </w:rPr>
      </w:pPr>
      <w:r w:rsidRPr="00573554">
        <w:rPr>
          <w:rFonts w:ascii="Times New Roman" w:hAnsi="Times New Roman" w:cs="Times New Roman"/>
          <w:b/>
          <w:bCs/>
          <w:sz w:val="24"/>
          <w:szCs w:val="24"/>
        </w:rPr>
        <w:t>Consumer Effects of Hospital Non-Compliance with Pricing Transparency Rules</w:t>
      </w:r>
    </w:p>
    <w:p w14:paraId="0C9B3D02" w14:textId="49DB796F" w:rsidR="006B0118" w:rsidRPr="00573554" w:rsidRDefault="006B0118" w:rsidP="00132EDC">
      <w:pPr>
        <w:spacing w:after="0" w:line="240" w:lineRule="auto"/>
        <w:ind w:firstLine="720"/>
        <w:jc w:val="center"/>
        <w:rPr>
          <w:rFonts w:ascii="Times New Roman" w:eastAsia="Calibri" w:hAnsi="Times New Roman" w:cs="Times New Roman"/>
          <w:b/>
          <w:bCs/>
          <w:sz w:val="24"/>
          <w:szCs w:val="24"/>
        </w:rPr>
      </w:pPr>
      <w:r w:rsidRPr="00573554">
        <w:rPr>
          <w:rFonts w:ascii="Times New Roman" w:eastAsia="Calibri" w:hAnsi="Times New Roman" w:cs="Times New Roman"/>
          <w:b/>
          <w:bCs/>
          <w:sz w:val="24"/>
          <w:szCs w:val="24"/>
        </w:rPr>
        <w:t>ABSTRACT</w:t>
      </w:r>
    </w:p>
    <w:p w14:paraId="3A803C03" w14:textId="03CE713E" w:rsidR="006B0118" w:rsidRPr="00573554" w:rsidRDefault="006B0118" w:rsidP="006B0118">
      <w:pPr>
        <w:ind w:left="720"/>
        <w:rPr>
          <w:rFonts w:ascii="Times New Roman" w:hAnsi="Times New Roman" w:cs="Times New Roman"/>
          <w:sz w:val="24"/>
          <w:szCs w:val="24"/>
        </w:rPr>
      </w:pPr>
      <w:r w:rsidRPr="00573554">
        <w:rPr>
          <w:rFonts w:ascii="Times New Roman" w:hAnsi="Times New Roman" w:cs="Times New Roman"/>
          <w:sz w:val="24"/>
          <w:szCs w:val="24"/>
        </w:rPr>
        <w:t>The U.S. federal government has mandated that hospitals provide clear and accessible online pricing information to the public. Effective January 1, 2021, hospitals must post a comprehensive machine-readable file of all items and services along with a consumer-friendly display of shoppable services. The intent of the policy is to encourage patients to make informed healthcare choices with price as an important contributor. Enhancing consumer choice has increased in importance over time as consumers opt for high-deductible plans to reduce insurance premiums and a rising number of patients experience medically related bankruptcy. Understanding costs upfront can significantly impact patient financial decisions.</w:t>
      </w:r>
    </w:p>
    <w:p w14:paraId="43B61D42" w14:textId="77777777" w:rsidR="006B0118" w:rsidRDefault="006B0118" w:rsidP="006B0118">
      <w:pPr>
        <w:ind w:left="720"/>
        <w:rPr>
          <w:rFonts w:ascii="Times New Roman" w:hAnsi="Times New Roman" w:cs="Times New Roman"/>
          <w:sz w:val="24"/>
          <w:szCs w:val="24"/>
        </w:rPr>
      </w:pPr>
      <w:r w:rsidRPr="00573554">
        <w:rPr>
          <w:rFonts w:ascii="Times New Roman" w:hAnsi="Times New Roman" w:cs="Times New Roman"/>
          <w:sz w:val="24"/>
          <w:szCs w:val="24"/>
        </w:rPr>
        <w:t xml:space="preserve">This paper reviews hospital pricing transparency in the U.S. and examines compliance, the efficacy and enforcement of these requirements, and potential improvements. It also explores state regulatory efforts and relevant international practices. The paper concludes with options for enhancing publicly available information to improve consumer decision-making across related healthcare services. </w:t>
      </w:r>
    </w:p>
    <w:p w14:paraId="55C09013" w14:textId="77777777" w:rsidR="006547C9" w:rsidRDefault="006547C9" w:rsidP="006B0118">
      <w:pPr>
        <w:ind w:left="720"/>
        <w:rPr>
          <w:rFonts w:ascii="Times New Roman" w:hAnsi="Times New Roman" w:cs="Times New Roman"/>
          <w:sz w:val="24"/>
          <w:szCs w:val="24"/>
        </w:rPr>
      </w:pPr>
    </w:p>
    <w:p w14:paraId="363F5CDD" w14:textId="77777777" w:rsidR="006547C9" w:rsidRPr="00573554" w:rsidRDefault="006547C9" w:rsidP="006B0118">
      <w:pPr>
        <w:ind w:left="720"/>
        <w:rPr>
          <w:rFonts w:ascii="Times New Roman" w:hAnsi="Times New Roman" w:cs="Times New Roman"/>
          <w:sz w:val="24"/>
          <w:szCs w:val="24"/>
        </w:rPr>
      </w:pPr>
    </w:p>
    <w:p w14:paraId="301945AC" w14:textId="77777777" w:rsidR="00AE4C8E" w:rsidRPr="00573554" w:rsidRDefault="00AE4C8E" w:rsidP="006B0118">
      <w:pPr>
        <w:ind w:left="720"/>
        <w:rPr>
          <w:rFonts w:ascii="Times New Roman" w:hAnsi="Times New Roman" w:cs="Times New Roman"/>
          <w:sz w:val="24"/>
          <w:szCs w:val="24"/>
        </w:rPr>
      </w:pPr>
    </w:p>
    <w:p w14:paraId="08CEFF7D" w14:textId="7519F606" w:rsidR="009D6F0D" w:rsidRPr="00573554" w:rsidRDefault="00402DA5" w:rsidP="009D6F0D">
      <w:pPr>
        <w:ind w:left="360"/>
        <w:rPr>
          <w:rFonts w:ascii="Times New Roman" w:hAnsi="Times New Roman" w:cs="Times New Roman"/>
          <w:sz w:val="24"/>
          <w:szCs w:val="24"/>
          <w:u w:val="single"/>
        </w:rPr>
      </w:pPr>
      <w:r w:rsidRPr="00573554">
        <w:rPr>
          <w:rFonts w:ascii="Times New Roman" w:hAnsi="Times New Roman" w:cs="Times New Roman"/>
          <w:sz w:val="24"/>
          <w:szCs w:val="24"/>
          <w:u w:val="single"/>
        </w:rPr>
        <w:lastRenderedPageBreak/>
        <w:t>3:</w:t>
      </w:r>
      <w:r w:rsidR="00591BBD" w:rsidRPr="00573554">
        <w:rPr>
          <w:rFonts w:ascii="Times New Roman" w:hAnsi="Times New Roman" w:cs="Times New Roman"/>
          <w:sz w:val="24"/>
          <w:szCs w:val="24"/>
          <w:u w:val="single"/>
        </w:rPr>
        <w:t>2</w:t>
      </w:r>
      <w:r w:rsidR="00D33559" w:rsidRPr="00573554">
        <w:rPr>
          <w:rFonts w:ascii="Times New Roman" w:hAnsi="Times New Roman" w:cs="Times New Roman"/>
          <w:sz w:val="24"/>
          <w:szCs w:val="24"/>
          <w:u w:val="single"/>
        </w:rPr>
        <w:t>0</w:t>
      </w:r>
      <w:r w:rsidRPr="00573554">
        <w:rPr>
          <w:rFonts w:ascii="Times New Roman" w:hAnsi="Times New Roman" w:cs="Times New Roman"/>
          <w:sz w:val="24"/>
          <w:szCs w:val="24"/>
          <w:u w:val="single"/>
        </w:rPr>
        <w:t xml:space="preserve"> – </w:t>
      </w:r>
      <w:r w:rsidR="00C51C8C" w:rsidRPr="00573554">
        <w:rPr>
          <w:rFonts w:ascii="Times New Roman" w:hAnsi="Times New Roman" w:cs="Times New Roman"/>
          <w:sz w:val="24"/>
          <w:szCs w:val="24"/>
          <w:u w:val="single"/>
        </w:rPr>
        <w:t>3</w:t>
      </w:r>
      <w:r w:rsidRPr="00573554">
        <w:rPr>
          <w:rFonts w:ascii="Times New Roman" w:hAnsi="Times New Roman" w:cs="Times New Roman"/>
          <w:sz w:val="24"/>
          <w:szCs w:val="24"/>
          <w:u w:val="single"/>
        </w:rPr>
        <w:t>:</w:t>
      </w:r>
      <w:r w:rsidR="00C51C8C" w:rsidRPr="00573554">
        <w:rPr>
          <w:rFonts w:ascii="Times New Roman" w:hAnsi="Times New Roman" w:cs="Times New Roman"/>
          <w:sz w:val="24"/>
          <w:szCs w:val="24"/>
          <w:u w:val="single"/>
        </w:rPr>
        <w:t>40</w:t>
      </w:r>
      <w:r w:rsidRPr="00573554">
        <w:rPr>
          <w:rFonts w:ascii="Times New Roman" w:hAnsi="Times New Roman" w:cs="Times New Roman"/>
          <w:sz w:val="24"/>
          <w:szCs w:val="24"/>
          <w:u w:val="single"/>
        </w:rPr>
        <w:t xml:space="preserve"> </w:t>
      </w:r>
      <w:r w:rsidR="009D6F0D" w:rsidRPr="00573554">
        <w:rPr>
          <w:rFonts w:ascii="Times New Roman" w:hAnsi="Times New Roman" w:cs="Times New Roman"/>
          <w:sz w:val="24"/>
          <w:szCs w:val="24"/>
          <w:u w:val="single"/>
        </w:rPr>
        <w:t>T</w:t>
      </w:r>
      <w:r w:rsidR="00C51C8C" w:rsidRPr="00573554">
        <w:rPr>
          <w:rFonts w:ascii="Times New Roman" w:hAnsi="Times New Roman" w:cs="Times New Roman"/>
          <w:sz w:val="24"/>
          <w:szCs w:val="24"/>
          <w:u w:val="single"/>
        </w:rPr>
        <w:t>.</w:t>
      </w:r>
      <w:r w:rsidR="009D6F0D" w:rsidRPr="00573554">
        <w:rPr>
          <w:rFonts w:ascii="Times New Roman" w:hAnsi="Times New Roman" w:cs="Times New Roman"/>
          <w:sz w:val="24"/>
          <w:szCs w:val="24"/>
          <w:u w:val="single"/>
        </w:rPr>
        <w:t xml:space="preserve"> Leigh Anenson</w:t>
      </w:r>
      <w:r w:rsidRPr="00573554">
        <w:rPr>
          <w:rFonts w:ascii="Times New Roman" w:hAnsi="Times New Roman" w:cs="Times New Roman"/>
          <w:sz w:val="24"/>
          <w:szCs w:val="24"/>
          <w:u w:val="single"/>
        </w:rPr>
        <w:t xml:space="preserve">, University of </w:t>
      </w:r>
      <w:r w:rsidR="009D6F0D" w:rsidRPr="00573554">
        <w:rPr>
          <w:rFonts w:ascii="Times New Roman" w:hAnsi="Times New Roman" w:cs="Times New Roman"/>
          <w:sz w:val="24"/>
          <w:szCs w:val="24"/>
          <w:u w:val="single"/>
        </w:rPr>
        <w:t>Maryland</w:t>
      </w:r>
    </w:p>
    <w:p w14:paraId="18BD66D8" w14:textId="082C09CC" w:rsidR="00043707" w:rsidRPr="00573554" w:rsidRDefault="00043707" w:rsidP="009D6F0D">
      <w:pPr>
        <w:ind w:left="720"/>
        <w:rPr>
          <w:rFonts w:ascii="Times New Roman" w:eastAsia="Times New Roman" w:hAnsi="Times New Roman" w:cs="Times New Roman"/>
          <w:b/>
          <w:bCs/>
          <w:sz w:val="24"/>
          <w:szCs w:val="24"/>
        </w:rPr>
      </w:pPr>
      <w:r w:rsidRPr="00573554">
        <w:rPr>
          <w:rFonts w:ascii="Times New Roman" w:eastAsia="Times New Roman" w:hAnsi="Times New Roman" w:cs="Times New Roman"/>
          <w:b/>
          <w:bCs/>
          <w:noProof/>
          <w:sz w:val="24"/>
          <w:szCs w:val="24"/>
        </w:rPr>
        <w:t>The Public Pension Crisis: Contractual Rights and Constitutional Limits, CUP forthcoming 2026</w:t>
      </w:r>
    </w:p>
    <w:p w14:paraId="1A5C6C4D" w14:textId="1FAE43F9" w:rsidR="009D6F0D" w:rsidRPr="00573554" w:rsidRDefault="009D6F0D" w:rsidP="00132EDC">
      <w:pPr>
        <w:spacing w:after="0" w:line="240" w:lineRule="auto"/>
        <w:ind w:firstLine="720"/>
        <w:jc w:val="center"/>
        <w:rPr>
          <w:rFonts w:ascii="Times New Roman" w:eastAsia="Calibri" w:hAnsi="Times New Roman" w:cs="Times New Roman"/>
          <w:b/>
          <w:bCs/>
          <w:sz w:val="24"/>
          <w:szCs w:val="24"/>
        </w:rPr>
      </w:pPr>
      <w:r w:rsidRPr="00573554">
        <w:rPr>
          <w:rFonts w:ascii="Times New Roman" w:eastAsia="Calibri" w:hAnsi="Times New Roman" w:cs="Times New Roman"/>
          <w:b/>
          <w:bCs/>
          <w:sz w:val="24"/>
          <w:szCs w:val="24"/>
        </w:rPr>
        <w:t>ABSTRACT</w:t>
      </w:r>
    </w:p>
    <w:p w14:paraId="070ACDBA" w14:textId="61808432" w:rsidR="00043707" w:rsidRPr="00573554" w:rsidRDefault="00043707" w:rsidP="009D6F0D">
      <w:pPr>
        <w:ind w:left="720"/>
        <w:rPr>
          <w:rFonts w:ascii="Times New Roman" w:hAnsi="Times New Roman" w:cs="Times New Roman"/>
          <w:sz w:val="24"/>
          <w:szCs w:val="24"/>
        </w:rPr>
      </w:pPr>
      <w:r w:rsidRPr="00573554">
        <w:rPr>
          <w:rFonts w:ascii="Times New Roman" w:hAnsi="Times New Roman" w:cs="Times New Roman"/>
          <w:sz w:val="24"/>
          <w:szCs w:val="24"/>
        </w:rPr>
        <w:t>A timely response to the pressing issue of public pension reform, The Public Pension Crisis explores the complex relationship between contract law and government pensions, specifically focusing on the Contract Clause and related state Pension Clauses. Analyzing over a decade of litigation, the book highlights the evolving role of pension contracts in constitutional law and examines more than 70 landmark cases to establish a clear, principled framework for determining when pension benefits qualify as contractual obligations. T. Leigh Anenson presents a unified theory to consistently treat public and private pensions, balancing the interests of employees’ earned benefits with the financial challenges facing governments. Combining legal scholarship with practical policy insights, Anenson not only provides a much-needed legal perspective on pension reform but also calls for a systematic approach to addressing the retirement security crisis.</w:t>
      </w:r>
    </w:p>
    <w:p w14:paraId="2207BAE9" w14:textId="77777777" w:rsidR="00C51C8C" w:rsidRDefault="00C51C8C" w:rsidP="009D6F0D">
      <w:pPr>
        <w:ind w:left="720"/>
        <w:rPr>
          <w:rFonts w:ascii="Times New Roman" w:hAnsi="Times New Roman" w:cs="Times New Roman"/>
          <w:sz w:val="24"/>
          <w:szCs w:val="24"/>
        </w:rPr>
      </w:pPr>
    </w:p>
    <w:p w14:paraId="42D942B8" w14:textId="235FBAE0" w:rsidR="00C51C8C" w:rsidRPr="00573554" w:rsidRDefault="00C51C8C" w:rsidP="00C51C8C">
      <w:pPr>
        <w:ind w:left="360"/>
        <w:rPr>
          <w:rFonts w:ascii="Times New Roman" w:hAnsi="Times New Roman" w:cs="Times New Roman"/>
          <w:sz w:val="24"/>
          <w:szCs w:val="24"/>
          <w:u w:val="single"/>
        </w:rPr>
      </w:pPr>
      <w:r w:rsidRPr="00573554">
        <w:rPr>
          <w:rFonts w:ascii="Times New Roman" w:hAnsi="Times New Roman" w:cs="Times New Roman"/>
          <w:sz w:val="24"/>
          <w:szCs w:val="24"/>
          <w:u w:val="single"/>
        </w:rPr>
        <w:t xml:space="preserve">3:40 – 4:00 </w:t>
      </w:r>
      <w:bookmarkStart w:id="4" w:name="_Hlk210133549"/>
      <w:r w:rsidR="004D3508" w:rsidRPr="00573554">
        <w:rPr>
          <w:rFonts w:ascii="Times New Roman" w:hAnsi="Times New Roman" w:cs="Times New Roman"/>
          <w:sz w:val="24"/>
          <w:szCs w:val="24"/>
          <w:u w:val="single"/>
        </w:rPr>
        <w:t>Peter Prescott and Kathy</w:t>
      </w:r>
      <w:r w:rsidR="00642578" w:rsidRPr="00573554">
        <w:rPr>
          <w:rFonts w:ascii="Times New Roman" w:hAnsi="Times New Roman" w:cs="Times New Roman"/>
          <w:sz w:val="24"/>
          <w:szCs w:val="24"/>
          <w:u w:val="single"/>
        </w:rPr>
        <w:t xml:space="preserve"> Paulson G</w:t>
      </w:r>
      <w:r w:rsidR="00D4477D" w:rsidRPr="00573554">
        <w:rPr>
          <w:rFonts w:ascii="Times New Roman" w:hAnsi="Times New Roman" w:cs="Times New Roman"/>
          <w:sz w:val="24"/>
          <w:szCs w:val="24"/>
          <w:u w:val="single"/>
        </w:rPr>
        <w:t>j</w:t>
      </w:r>
      <w:r w:rsidR="00642578" w:rsidRPr="00573554">
        <w:rPr>
          <w:rFonts w:ascii="Times New Roman" w:hAnsi="Times New Roman" w:cs="Times New Roman"/>
          <w:sz w:val="24"/>
          <w:szCs w:val="24"/>
          <w:u w:val="single"/>
        </w:rPr>
        <w:t>erde</w:t>
      </w:r>
      <w:r w:rsidR="00124438" w:rsidRPr="00573554">
        <w:rPr>
          <w:rFonts w:ascii="Times New Roman" w:hAnsi="Times New Roman" w:cs="Times New Roman"/>
          <w:sz w:val="24"/>
          <w:szCs w:val="24"/>
          <w:u w:val="single"/>
        </w:rPr>
        <w:t xml:space="preserve">, Butler University </w:t>
      </w:r>
      <w:bookmarkEnd w:id="4"/>
      <w:r w:rsidR="00A052B3">
        <w:rPr>
          <w:rFonts w:ascii="Times New Roman" w:hAnsi="Times New Roman" w:cs="Times New Roman"/>
          <w:sz w:val="24"/>
          <w:szCs w:val="24"/>
          <w:u w:val="single"/>
        </w:rPr>
        <w:t xml:space="preserve">presented </w:t>
      </w:r>
      <w:r w:rsidR="004D23B1">
        <w:rPr>
          <w:rFonts w:ascii="Times New Roman" w:hAnsi="Times New Roman" w:cs="Times New Roman"/>
          <w:sz w:val="24"/>
          <w:szCs w:val="24"/>
          <w:u w:val="single"/>
        </w:rPr>
        <w:t>by Peter Prescott</w:t>
      </w:r>
    </w:p>
    <w:p w14:paraId="0455D028" w14:textId="2C83303D" w:rsidR="005F5B8B" w:rsidRPr="00573554" w:rsidRDefault="005F5B8B" w:rsidP="005F5B8B">
      <w:pPr>
        <w:spacing w:before="100" w:beforeAutospacing="1" w:after="100" w:afterAutospacing="1" w:line="240" w:lineRule="auto"/>
        <w:ind w:left="720"/>
        <w:rPr>
          <w:rFonts w:ascii="Times New Roman" w:eastAsia="Times New Roman" w:hAnsi="Times New Roman" w:cs="Times New Roman"/>
          <w:b/>
          <w:bCs/>
          <w:sz w:val="24"/>
          <w:szCs w:val="24"/>
        </w:rPr>
      </w:pPr>
      <w:r w:rsidRPr="00573554">
        <w:rPr>
          <w:rFonts w:ascii="Times New Roman" w:eastAsia="Times New Roman" w:hAnsi="Times New Roman" w:cs="Times New Roman"/>
          <w:b/>
          <w:bCs/>
          <w:noProof/>
          <w:sz w:val="24"/>
          <w:szCs w:val="24"/>
        </w:rPr>
        <w:t>Understanding the Relationship between Criminal Record and On-the-job Performance</w:t>
      </w:r>
    </w:p>
    <w:p w14:paraId="13698F84" w14:textId="5D647806" w:rsidR="005F5B8B" w:rsidRPr="00573554" w:rsidRDefault="005F5B8B" w:rsidP="00E3428F">
      <w:pPr>
        <w:spacing w:after="0" w:line="240" w:lineRule="auto"/>
        <w:ind w:firstLine="720"/>
        <w:jc w:val="center"/>
        <w:rPr>
          <w:rFonts w:ascii="Times New Roman" w:eastAsia="Calibri" w:hAnsi="Times New Roman" w:cs="Times New Roman"/>
          <w:b/>
          <w:bCs/>
          <w:sz w:val="24"/>
          <w:szCs w:val="24"/>
        </w:rPr>
      </w:pPr>
      <w:r w:rsidRPr="00573554">
        <w:rPr>
          <w:rFonts w:ascii="Times New Roman" w:eastAsia="Calibri" w:hAnsi="Times New Roman" w:cs="Times New Roman"/>
          <w:b/>
          <w:bCs/>
          <w:sz w:val="24"/>
          <w:szCs w:val="24"/>
        </w:rPr>
        <w:t>ABSTRACT</w:t>
      </w:r>
    </w:p>
    <w:p w14:paraId="4A4385A3" w14:textId="77777777" w:rsidR="004A048A" w:rsidRPr="004A048A" w:rsidRDefault="004A048A" w:rsidP="004A048A">
      <w:pPr>
        <w:spacing w:line="276" w:lineRule="auto"/>
        <w:ind w:left="720"/>
        <w:jc w:val="both"/>
        <w:rPr>
          <w:rFonts w:ascii="Aptos" w:eastAsia="Aptos" w:hAnsi="Aptos" w:cs="Times New Roman"/>
          <w:kern w:val="2"/>
          <w:sz w:val="24"/>
          <w:szCs w:val="24"/>
          <w14:ligatures w14:val="standardContextual"/>
        </w:rPr>
      </w:pPr>
      <w:r w:rsidRPr="004A048A">
        <w:rPr>
          <w:rFonts w:ascii="Times New Roman" w:eastAsia="Aptos" w:hAnsi="Times New Roman" w:cs="Times New Roman"/>
          <w:kern w:val="2"/>
          <w:sz w:val="24"/>
          <w:szCs w:val="24"/>
          <w14:ligatures w14:val="standardContextual"/>
        </w:rPr>
        <w:t>In 2022, over 5.4 million U.S. adults were incarcerated, on probation, or on parole. Clearly, the correctional system impacts a significant percentage of the U.S. population and understanding how a criminal record affects an individual’s employment opportunities is important. Using a sample of 218 individuals employed in entry-level positions in 2021 at four logistics and manufacturing firms located in the United States, this study examines the relationship between criminal record and on-the-job performance, controlling for traditional demographic and workforce-experience-related factors. We find that a criminal record does not uniformly predict poor performance. Rather, the type of conviction matters—misdemeanor convictions are associated with lower odds of being high performers, while felony convictions show no measurable effect. We also find that longer periods of unemployment before securing a job are linked to higher performance, suggesting that individuals who struggle in the labor market may display stronger attachment once employed.</w:t>
      </w:r>
    </w:p>
    <w:p w14:paraId="23AD6C6B" w14:textId="77777777" w:rsidR="00D277E3" w:rsidRPr="00573554" w:rsidRDefault="00D277E3" w:rsidP="00C76F64">
      <w:pPr>
        <w:spacing w:after="0" w:line="240" w:lineRule="auto"/>
        <w:rPr>
          <w:rFonts w:ascii="Times New Roman" w:hAnsi="Times New Roman" w:cs="Times New Roman"/>
          <w:sz w:val="24"/>
          <w:szCs w:val="24"/>
        </w:rPr>
      </w:pPr>
    </w:p>
    <w:p w14:paraId="20395483" w14:textId="6CC2B374" w:rsidR="00135B0F" w:rsidRPr="00573554" w:rsidRDefault="00D277E3" w:rsidP="00581736">
      <w:pPr>
        <w:spacing w:after="0" w:line="240" w:lineRule="auto"/>
        <w:rPr>
          <w:rFonts w:ascii="Times New Roman" w:hAnsi="Times New Roman" w:cs="Times New Roman"/>
          <w:b/>
          <w:bCs/>
          <w:color w:val="EE0000"/>
          <w:sz w:val="24"/>
          <w:szCs w:val="24"/>
        </w:rPr>
      </w:pPr>
      <w:r w:rsidRPr="00573554">
        <w:rPr>
          <w:rFonts w:ascii="Times New Roman" w:hAnsi="Times New Roman" w:cs="Times New Roman"/>
          <w:b/>
          <w:bCs/>
          <w:color w:val="EE0000"/>
          <w:sz w:val="24"/>
          <w:szCs w:val="24"/>
        </w:rPr>
        <w:t>4:00</w:t>
      </w:r>
      <w:r w:rsidR="00A00951">
        <w:rPr>
          <w:rFonts w:ascii="Times New Roman" w:hAnsi="Times New Roman" w:cs="Times New Roman"/>
          <w:b/>
          <w:bCs/>
          <w:color w:val="EE0000"/>
          <w:sz w:val="24"/>
          <w:szCs w:val="24"/>
        </w:rPr>
        <w:t xml:space="preserve"> – </w:t>
      </w:r>
      <w:r w:rsidRPr="00573554">
        <w:rPr>
          <w:rFonts w:ascii="Times New Roman" w:hAnsi="Times New Roman" w:cs="Times New Roman"/>
          <w:b/>
          <w:bCs/>
          <w:color w:val="EE0000"/>
          <w:sz w:val="24"/>
          <w:szCs w:val="24"/>
        </w:rPr>
        <w:t xml:space="preserve">5:00 Business Meeting </w:t>
      </w:r>
    </w:p>
    <w:p w14:paraId="10253F53" w14:textId="77777777" w:rsidR="00135B0F" w:rsidRPr="00573554" w:rsidRDefault="00135B0F" w:rsidP="00581736">
      <w:pPr>
        <w:spacing w:after="0" w:line="240" w:lineRule="auto"/>
        <w:rPr>
          <w:rFonts w:ascii="Times New Roman" w:hAnsi="Times New Roman" w:cs="Times New Roman"/>
          <w:sz w:val="24"/>
          <w:szCs w:val="24"/>
        </w:rPr>
      </w:pPr>
    </w:p>
    <w:p w14:paraId="2F7F4DAE" w14:textId="1A2E1FA4" w:rsidR="00581736" w:rsidRPr="00573554" w:rsidRDefault="00C76F64" w:rsidP="00581736">
      <w:pPr>
        <w:spacing w:after="0" w:line="240" w:lineRule="auto"/>
        <w:rPr>
          <w:rFonts w:ascii="Times New Roman" w:hAnsi="Times New Roman" w:cs="Times New Roman"/>
          <w:b/>
          <w:bCs/>
          <w:color w:val="EE0000"/>
          <w:sz w:val="24"/>
          <w:szCs w:val="24"/>
        </w:rPr>
      </w:pPr>
      <w:r w:rsidRPr="00573554">
        <w:rPr>
          <w:rFonts w:ascii="Times New Roman" w:hAnsi="Times New Roman" w:cs="Times New Roman"/>
          <w:b/>
          <w:bCs/>
          <w:color w:val="EE0000"/>
          <w:sz w:val="24"/>
          <w:szCs w:val="24"/>
        </w:rPr>
        <w:t>5:30</w:t>
      </w:r>
      <w:r w:rsidR="00A00951">
        <w:rPr>
          <w:rFonts w:ascii="Times New Roman" w:hAnsi="Times New Roman" w:cs="Times New Roman"/>
          <w:b/>
          <w:bCs/>
          <w:color w:val="EE0000"/>
          <w:sz w:val="24"/>
          <w:szCs w:val="24"/>
        </w:rPr>
        <w:t xml:space="preserve"> – </w:t>
      </w:r>
      <w:r w:rsidR="00FF12B5" w:rsidRPr="00573554">
        <w:rPr>
          <w:rFonts w:ascii="Times New Roman" w:hAnsi="Times New Roman" w:cs="Times New Roman"/>
          <w:b/>
          <w:bCs/>
          <w:color w:val="EE0000"/>
          <w:sz w:val="24"/>
          <w:szCs w:val="24"/>
        </w:rPr>
        <w:t>6</w:t>
      </w:r>
      <w:r w:rsidRPr="00573554">
        <w:rPr>
          <w:rFonts w:ascii="Times New Roman" w:hAnsi="Times New Roman" w:cs="Times New Roman"/>
          <w:b/>
          <w:bCs/>
          <w:color w:val="EE0000"/>
          <w:sz w:val="24"/>
          <w:szCs w:val="24"/>
        </w:rPr>
        <w:t>:</w:t>
      </w:r>
      <w:r w:rsidR="00355058" w:rsidRPr="00573554">
        <w:rPr>
          <w:rFonts w:ascii="Times New Roman" w:hAnsi="Times New Roman" w:cs="Times New Roman"/>
          <w:b/>
          <w:bCs/>
          <w:color w:val="EE0000"/>
          <w:sz w:val="24"/>
          <w:szCs w:val="24"/>
        </w:rPr>
        <w:t>30</w:t>
      </w:r>
      <w:r w:rsidRPr="00573554">
        <w:rPr>
          <w:rFonts w:ascii="Times New Roman" w:hAnsi="Times New Roman" w:cs="Times New Roman"/>
          <w:b/>
          <w:bCs/>
          <w:color w:val="EE0000"/>
          <w:sz w:val="24"/>
          <w:szCs w:val="24"/>
        </w:rPr>
        <w:t xml:space="preserve"> Complimentary Cocktail Reception</w:t>
      </w:r>
    </w:p>
    <w:p w14:paraId="463E8D68" w14:textId="4C418A55" w:rsidR="000C4BF1" w:rsidRPr="00573554" w:rsidRDefault="00581736" w:rsidP="00581736">
      <w:pPr>
        <w:spacing w:after="0" w:line="240" w:lineRule="auto"/>
        <w:rPr>
          <w:rFonts w:ascii="Times New Roman" w:eastAsia="Calibri" w:hAnsi="Times New Roman" w:cs="Times New Roman"/>
          <w:iCs/>
          <w:sz w:val="24"/>
          <w:szCs w:val="24"/>
        </w:rPr>
      </w:pPr>
      <w:r w:rsidRPr="00573554">
        <w:rPr>
          <w:rFonts w:ascii="Times New Roman" w:eastAsia="Calibri" w:hAnsi="Times New Roman" w:cs="Times New Roman"/>
          <w:iCs/>
          <w:sz w:val="24"/>
          <w:szCs w:val="24"/>
        </w:rPr>
        <w:lastRenderedPageBreak/>
        <w:t>Barley House</w:t>
      </w:r>
      <w:r w:rsidR="00C53A63" w:rsidRPr="00573554">
        <w:rPr>
          <w:rFonts w:ascii="Times New Roman" w:eastAsia="Calibri" w:hAnsi="Times New Roman" w:cs="Times New Roman"/>
          <w:iCs/>
          <w:sz w:val="24"/>
          <w:szCs w:val="24"/>
        </w:rPr>
        <w:t xml:space="preserve"> (Walking distan</w:t>
      </w:r>
      <w:r w:rsidR="00377D34" w:rsidRPr="00573554">
        <w:rPr>
          <w:rFonts w:ascii="Times New Roman" w:eastAsia="Calibri" w:hAnsi="Times New Roman" w:cs="Times New Roman"/>
          <w:iCs/>
          <w:sz w:val="24"/>
          <w:szCs w:val="24"/>
        </w:rPr>
        <w:t>ce from the College of Business)</w:t>
      </w:r>
    </w:p>
    <w:p w14:paraId="338C97C7" w14:textId="022D38DC" w:rsidR="000C4BF1" w:rsidRPr="00573554" w:rsidRDefault="00581736" w:rsidP="00581736">
      <w:pPr>
        <w:spacing w:after="0" w:line="240" w:lineRule="auto"/>
        <w:rPr>
          <w:rFonts w:ascii="Times New Roman" w:eastAsia="Calibri" w:hAnsi="Times New Roman" w:cs="Times New Roman"/>
          <w:iCs/>
          <w:sz w:val="24"/>
          <w:szCs w:val="24"/>
        </w:rPr>
      </w:pPr>
      <w:r w:rsidRPr="00573554">
        <w:rPr>
          <w:rFonts w:ascii="Times New Roman" w:eastAsia="Calibri" w:hAnsi="Times New Roman" w:cs="Times New Roman"/>
          <w:iCs/>
          <w:sz w:val="24"/>
          <w:szCs w:val="24"/>
        </w:rPr>
        <w:t>22 South Main Street</w:t>
      </w:r>
    </w:p>
    <w:p w14:paraId="5083F9E3" w14:textId="3FC2E9B5" w:rsidR="00581736" w:rsidRPr="00573554" w:rsidRDefault="00581736" w:rsidP="00581736">
      <w:pPr>
        <w:spacing w:after="0" w:line="240" w:lineRule="auto"/>
        <w:rPr>
          <w:rFonts w:ascii="Times New Roman" w:eastAsia="Calibri" w:hAnsi="Times New Roman" w:cs="Times New Roman"/>
          <w:iCs/>
          <w:sz w:val="24"/>
          <w:szCs w:val="24"/>
        </w:rPr>
      </w:pPr>
      <w:r w:rsidRPr="00573554">
        <w:rPr>
          <w:rFonts w:ascii="Times New Roman" w:eastAsia="Calibri" w:hAnsi="Times New Roman" w:cs="Times New Roman"/>
          <w:iCs/>
          <w:sz w:val="24"/>
          <w:szCs w:val="24"/>
        </w:rPr>
        <w:t xml:space="preserve">Akron, OH </w:t>
      </w:r>
    </w:p>
    <w:p w14:paraId="5FAEADB8" w14:textId="1CEF17D6" w:rsidR="00581736" w:rsidRPr="00573554" w:rsidRDefault="00EA6115" w:rsidP="00581736">
      <w:pPr>
        <w:spacing w:after="0" w:line="240" w:lineRule="auto"/>
        <w:rPr>
          <w:rFonts w:ascii="Times New Roman" w:eastAsia="Calibri" w:hAnsi="Times New Roman" w:cs="Times New Roman"/>
          <w:iCs/>
          <w:sz w:val="24"/>
          <w:szCs w:val="24"/>
        </w:rPr>
      </w:pPr>
      <w:r w:rsidRPr="00573554">
        <w:rPr>
          <w:rFonts w:ascii="Times New Roman" w:eastAsia="Calibri" w:hAnsi="Times New Roman" w:cs="Times New Roman"/>
          <w:iCs/>
          <w:sz w:val="24"/>
          <w:szCs w:val="24"/>
        </w:rPr>
        <w:t xml:space="preserve">Two </w:t>
      </w:r>
      <w:r w:rsidR="00581736" w:rsidRPr="00573554">
        <w:rPr>
          <w:rFonts w:ascii="Times New Roman" w:eastAsia="Calibri" w:hAnsi="Times New Roman" w:cs="Times New Roman"/>
          <w:iCs/>
          <w:sz w:val="24"/>
          <w:szCs w:val="24"/>
        </w:rPr>
        <w:t xml:space="preserve">free </w:t>
      </w:r>
      <w:r w:rsidR="00C80F47" w:rsidRPr="00573554">
        <w:rPr>
          <w:rFonts w:ascii="Times New Roman" w:eastAsia="Calibri" w:hAnsi="Times New Roman" w:cs="Times New Roman"/>
          <w:iCs/>
          <w:sz w:val="24"/>
          <w:szCs w:val="24"/>
        </w:rPr>
        <w:t>drinks</w:t>
      </w:r>
      <w:r w:rsidR="00581736" w:rsidRPr="00573554">
        <w:rPr>
          <w:rFonts w:ascii="Times New Roman" w:eastAsia="Calibri" w:hAnsi="Times New Roman" w:cs="Times New Roman"/>
          <w:iCs/>
          <w:sz w:val="24"/>
          <w:szCs w:val="24"/>
        </w:rPr>
        <w:t xml:space="preserve"> and appetizers</w:t>
      </w:r>
      <w:r w:rsidRPr="00573554">
        <w:rPr>
          <w:rFonts w:ascii="Times New Roman" w:eastAsia="Calibri" w:hAnsi="Times New Roman" w:cs="Times New Roman"/>
          <w:iCs/>
          <w:sz w:val="24"/>
          <w:szCs w:val="24"/>
        </w:rPr>
        <w:t xml:space="preserve"> </w:t>
      </w:r>
    </w:p>
    <w:p w14:paraId="3FDD6167" w14:textId="77777777" w:rsidR="00FE5A2F" w:rsidRPr="00573554" w:rsidRDefault="00FE5A2F" w:rsidP="00C76F64">
      <w:pPr>
        <w:spacing w:after="0" w:line="240" w:lineRule="auto"/>
        <w:rPr>
          <w:rFonts w:ascii="Times New Roman" w:eastAsia="Calibri" w:hAnsi="Times New Roman" w:cs="Times New Roman"/>
          <w:b/>
          <w:bCs/>
          <w:iCs/>
          <w:sz w:val="24"/>
          <w:szCs w:val="24"/>
        </w:rPr>
      </w:pPr>
    </w:p>
    <w:p w14:paraId="2659C45E" w14:textId="29A36DC9" w:rsidR="00581736" w:rsidRPr="00573554" w:rsidRDefault="00581736" w:rsidP="00C76F64">
      <w:pPr>
        <w:spacing w:after="0" w:line="240" w:lineRule="auto"/>
        <w:rPr>
          <w:rFonts w:ascii="Times New Roman" w:eastAsia="Calibri" w:hAnsi="Times New Roman" w:cs="Times New Roman"/>
          <w:iCs/>
          <w:sz w:val="24"/>
          <w:szCs w:val="24"/>
        </w:rPr>
      </w:pPr>
      <w:r w:rsidRPr="00573554">
        <w:rPr>
          <w:rFonts w:ascii="Times New Roman" w:eastAsia="Calibri" w:hAnsi="Times New Roman" w:cs="Times New Roman"/>
          <w:b/>
          <w:bCs/>
          <w:iCs/>
          <w:sz w:val="24"/>
          <w:szCs w:val="24"/>
        </w:rPr>
        <w:t>6:</w:t>
      </w:r>
      <w:r w:rsidR="00355058" w:rsidRPr="00573554">
        <w:rPr>
          <w:rFonts w:ascii="Times New Roman" w:eastAsia="Calibri" w:hAnsi="Times New Roman" w:cs="Times New Roman"/>
          <w:b/>
          <w:bCs/>
          <w:iCs/>
          <w:sz w:val="24"/>
          <w:szCs w:val="24"/>
        </w:rPr>
        <w:t>30</w:t>
      </w:r>
      <w:r w:rsidRPr="00573554">
        <w:rPr>
          <w:rFonts w:ascii="Times New Roman" w:eastAsia="Calibri" w:hAnsi="Times New Roman" w:cs="Times New Roman"/>
          <w:iCs/>
          <w:sz w:val="24"/>
          <w:szCs w:val="24"/>
        </w:rPr>
        <w:t xml:space="preserve"> Dinner</w:t>
      </w:r>
      <w:r w:rsidR="00BA3953" w:rsidRPr="00573554">
        <w:rPr>
          <w:rFonts w:ascii="Times New Roman" w:eastAsia="Calibri" w:hAnsi="Times New Roman" w:cs="Times New Roman"/>
          <w:iCs/>
          <w:sz w:val="24"/>
          <w:szCs w:val="24"/>
        </w:rPr>
        <w:t xml:space="preserve"> (On your own</w:t>
      </w:r>
      <w:r w:rsidR="006D257B" w:rsidRPr="00573554">
        <w:rPr>
          <w:rFonts w:ascii="Times New Roman" w:eastAsia="Calibri" w:hAnsi="Times New Roman" w:cs="Times New Roman"/>
          <w:iCs/>
          <w:sz w:val="24"/>
          <w:szCs w:val="24"/>
        </w:rPr>
        <w:t xml:space="preserve"> at Barley House</w:t>
      </w:r>
      <w:r w:rsidR="00BA3953" w:rsidRPr="00573554">
        <w:rPr>
          <w:rFonts w:ascii="Times New Roman" w:eastAsia="Calibri" w:hAnsi="Times New Roman" w:cs="Times New Roman"/>
          <w:iCs/>
          <w:sz w:val="24"/>
          <w:szCs w:val="24"/>
        </w:rPr>
        <w:t>)</w:t>
      </w:r>
      <w:r w:rsidR="00377D34" w:rsidRPr="00573554">
        <w:rPr>
          <w:rFonts w:ascii="Times New Roman" w:eastAsia="Calibri" w:hAnsi="Times New Roman" w:cs="Times New Roman"/>
          <w:iCs/>
          <w:sz w:val="24"/>
          <w:szCs w:val="24"/>
        </w:rPr>
        <w:t xml:space="preserve"> </w:t>
      </w:r>
      <w:r w:rsidR="00464B22" w:rsidRPr="00573554">
        <w:rPr>
          <w:rFonts w:ascii="Times New Roman" w:eastAsia="Calibri" w:hAnsi="Times New Roman" w:cs="Times New Roman"/>
          <w:iCs/>
          <w:sz w:val="24"/>
          <w:szCs w:val="24"/>
        </w:rPr>
        <w:t xml:space="preserve">Honestly the appetizers are usually sufficient but that is up to you.  </w:t>
      </w:r>
    </w:p>
    <w:p w14:paraId="3CC7D06A" w14:textId="77777777" w:rsidR="003F386B" w:rsidRPr="00573554" w:rsidRDefault="003F386B" w:rsidP="00C76F64">
      <w:pPr>
        <w:spacing w:after="0" w:line="240" w:lineRule="auto"/>
        <w:rPr>
          <w:rFonts w:ascii="Times New Roman" w:eastAsia="Calibri" w:hAnsi="Times New Roman" w:cs="Times New Roman"/>
          <w:iCs/>
          <w:sz w:val="24"/>
          <w:szCs w:val="24"/>
        </w:rPr>
      </w:pPr>
    </w:p>
    <w:p w14:paraId="71C8ADE5" w14:textId="77777777" w:rsidR="00C80F47" w:rsidRPr="00573554" w:rsidRDefault="00C80F47" w:rsidP="00C76F64">
      <w:pPr>
        <w:spacing w:after="0" w:line="240" w:lineRule="auto"/>
        <w:rPr>
          <w:rFonts w:ascii="Times New Roman" w:eastAsia="Calibri" w:hAnsi="Times New Roman" w:cs="Times New Roman"/>
          <w:iCs/>
          <w:sz w:val="24"/>
          <w:szCs w:val="24"/>
        </w:rPr>
      </w:pPr>
    </w:p>
    <w:p w14:paraId="0513E1AA" w14:textId="77777777" w:rsidR="00377D34" w:rsidRPr="00573554" w:rsidRDefault="00377D34" w:rsidP="00C76F64">
      <w:pPr>
        <w:spacing w:after="0" w:line="240" w:lineRule="auto"/>
        <w:rPr>
          <w:rFonts w:ascii="Times New Roman" w:eastAsia="Calibri" w:hAnsi="Times New Roman" w:cs="Times New Roman"/>
          <w:iCs/>
          <w:sz w:val="24"/>
          <w:szCs w:val="24"/>
        </w:rPr>
      </w:pPr>
    </w:p>
    <w:p w14:paraId="2DFB7335" w14:textId="77777777" w:rsidR="00377D34" w:rsidRPr="00573554" w:rsidRDefault="00377D34" w:rsidP="00C76F64">
      <w:pPr>
        <w:spacing w:after="0" w:line="240" w:lineRule="auto"/>
        <w:rPr>
          <w:rFonts w:ascii="Times New Roman" w:eastAsia="Calibri" w:hAnsi="Times New Roman" w:cs="Times New Roman"/>
          <w:iCs/>
          <w:sz w:val="24"/>
          <w:szCs w:val="24"/>
        </w:rPr>
      </w:pPr>
    </w:p>
    <w:p w14:paraId="1239FE39" w14:textId="77777777" w:rsidR="00377D34" w:rsidRPr="00573554" w:rsidRDefault="00377D34" w:rsidP="00C76F64">
      <w:pPr>
        <w:spacing w:after="0" w:line="240" w:lineRule="auto"/>
        <w:rPr>
          <w:rFonts w:ascii="Times New Roman" w:eastAsia="Calibri" w:hAnsi="Times New Roman" w:cs="Times New Roman"/>
          <w:iCs/>
          <w:sz w:val="24"/>
          <w:szCs w:val="24"/>
        </w:rPr>
      </w:pPr>
    </w:p>
    <w:p w14:paraId="3BEE06A9" w14:textId="77777777" w:rsidR="00377D34" w:rsidRPr="00573554" w:rsidRDefault="00377D34" w:rsidP="00C76F64">
      <w:pPr>
        <w:spacing w:after="0" w:line="240" w:lineRule="auto"/>
        <w:rPr>
          <w:rFonts w:ascii="Times New Roman" w:eastAsia="Calibri" w:hAnsi="Times New Roman" w:cs="Times New Roman"/>
          <w:iCs/>
          <w:sz w:val="24"/>
          <w:szCs w:val="24"/>
        </w:rPr>
      </w:pPr>
    </w:p>
    <w:p w14:paraId="62B3F855" w14:textId="77777777" w:rsidR="00377D34" w:rsidRPr="00573554" w:rsidRDefault="00377D34" w:rsidP="00C76F64">
      <w:pPr>
        <w:spacing w:after="0" w:line="240" w:lineRule="auto"/>
        <w:rPr>
          <w:rFonts w:ascii="Times New Roman" w:eastAsia="Calibri" w:hAnsi="Times New Roman" w:cs="Times New Roman"/>
          <w:iCs/>
          <w:sz w:val="24"/>
          <w:szCs w:val="24"/>
        </w:rPr>
      </w:pPr>
    </w:p>
    <w:p w14:paraId="27D53B38" w14:textId="77777777" w:rsidR="00377D34" w:rsidRPr="00573554" w:rsidRDefault="00377D34" w:rsidP="00C76F64">
      <w:pPr>
        <w:spacing w:after="0" w:line="240" w:lineRule="auto"/>
        <w:rPr>
          <w:rFonts w:ascii="Times New Roman" w:eastAsia="Calibri" w:hAnsi="Times New Roman" w:cs="Times New Roman"/>
          <w:iCs/>
          <w:sz w:val="24"/>
          <w:szCs w:val="24"/>
        </w:rPr>
      </w:pPr>
    </w:p>
    <w:p w14:paraId="50EE3643" w14:textId="77777777" w:rsidR="00377D34" w:rsidRPr="00573554" w:rsidRDefault="00377D34" w:rsidP="00C76F64">
      <w:pPr>
        <w:spacing w:after="0" w:line="240" w:lineRule="auto"/>
        <w:rPr>
          <w:rFonts w:ascii="Times New Roman" w:eastAsia="Calibri" w:hAnsi="Times New Roman" w:cs="Times New Roman"/>
          <w:iCs/>
          <w:sz w:val="24"/>
          <w:szCs w:val="24"/>
        </w:rPr>
      </w:pPr>
    </w:p>
    <w:p w14:paraId="0D8A14B6" w14:textId="77777777" w:rsidR="00377D34" w:rsidRPr="00573554" w:rsidRDefault="00377D34" w:rsidP="00C76F64">
      <w:pPr>
        <w:spacing w:after="0" w:line="240" w:lineRule="auto"/>
        <w:rPr>
          <w:rFonts w:ascii="Times New Roman" w:eastAsia="Calibri" w:hAnsi="Times New Roman" w:cs="Times New Roman"/>
          <w:iCs/>
          <w:sz w:val="24"/>
          <w:szCs w:val="24"/>
        </w:rPr>
      </w:pPr>
    </w:p>
    <w:p w14:paraId="65CCC1E3" w14:textId="77777777" w:rsidR="00377D34" w:rsidRDefault="00377D34" w:rsidP="00C76F64">
      <w:pPr>
        <w:spacing w:after="0" w:line="240" w:lineRule="auto"/>
        <w:rPr>
          <w:rFonts w:ascii="Times New Roman" w:eastAsia="Calibri" w:hAnsi="Times New Roman" w:cs="Times New Roman"/>
          <w:iCs/>
          <w:sz w:val="24"/>
          <w:szCs w:val="24"/>
        </w:rPr>
      </w:pPr>
    </w:p>
    <w:p w14:paraId="4C2BCB05" w14:textId="77777777" w:rsidR="00CC0396" w:rsidRDefault="00CC0396" w:rsidP="00C76F64">
      <w:pPr>
        <w:spacing w:after="0" w:line="240" w:lineRule="auto"/>
        <w:rPr>
          <w:rFonts w:ascii="Times New Roman" w:eastAsia="Calibri" w:hAnsi="Times New Roman" w:cs="Times New Roman"/>
          <w:iCs/>
          <w:sz w:val="24"/>
          <w:szCs w:val="24"/>
        </w:rPr>
      </w:pPr>
    </w:p>
    <w:p w14:paraId="0BF13800" w14:textId="77777777" w:rsidR="00CC0396" w:rsidRDefault="00CC0396" w:rsidP="00C76F64">
      <w:pPr>
        <w:spacing w:after="0" w:line="240" w:lineRule="auto"/>
        <w:rPr>
          <w:rFonts w:ascii="Times New Roman" w:eastAsia="Calibri" w:hAnsi="Times New Roman" w:cs="Times New Roman"/>
          <w:iCs/>
          <w:sz w:val="24"/>
          <w:szCs w:val="24"/>
        </w:rPr>
      </w:pPr>
    </w:p>
    <w:p w14:paraId="106714DB" w14:textId="77777777" w:rsidR="00CC0396" w:rsidRDefault="00CC0396" w:rsidP="00C76F64">
      <w:pPr>
        <w:spacing w:after="0" w:line="240" w:lineRule="auto"/>
        <w:rPr>
          <w:rFonts w:ascii="Times New Roman" w:eastAsia="Calibri" w:hAnsi="Times New Roman" w:cs="Times New Roman"/>
          <w:iCs/>
          <w:sz w:val="24"/>
          <w:szCs w:val="24"/>
        </w:rPr>
      </w:pPr>
    </w:p>
    <w:p w14:paraId="2632CB79" w14:textId="77777777" w:rsidR="00CC0396" w:rsidRDefault="00CC0396" w:rsidP="00C76F64">
      <w:pPr>
        <w:spacing w:after="0" w:line="240" w:lineRule="auto"/>
        <w:rPr>
          <w:rFonts w:ascii="Times New Roman" w:eastAsia="Calibri" w:hAnsi="Times New Roman" w:cs="Times New Roman"/>
          <w:iCs/>
          <w:sz w:val="24"/>
          <w:szCs w:val="24"/>
        </w:rPr>
      </w:pPr>
    </w:p>
    <w:p w14:paraId="7FAE89F4" w14:textId="77777777" w:rsidR="00CC0396" w:rsidRDefault="00CC0396" w:rsidP="00C76F64">
      <w:pPr>
        <w:spacing w:after="0" w:line="240" w:lineRule="auto"/>
        <w:rPr>
          <w:rFonts w:ascii="Times New Roman" w:eastAsia="Calibri" w:hAnsi="Times New Roman" w:cs="Times New Roman"/>
          <w:iCs/>
          <w:sz w:val="24"/>
          <w:szCs w:val="24"/>
        </w:rPr>
      </w:pPr>
    </w:p>
    <w:p w14:paraId="28476208" w14:textId="77777777" w:rsidR="00CC0396" w:rsidRDefault="00CC0396" w:rsidP="00C76F64">
      <w:pPr>
        <w:spacing w:after="0" w:line="240" w:lineRule="auto"/>
        <w:rPr>
          <w:rFonts w:ascii="Times New Roman" w:eastAsia="Calibri" w:hAnsi="Times New Roman" w:cs="Times New Roman"/>
          <w:iCs/>
          <w:sz w:val="24"/>
          <w:szCs w:val="24"/>
        </w:rPr>
      </w:pPr>
    </w:p>
    <w:p w14:paraId="2141B97E" w14:textId="77777777" w:rsidR="00CC0396" w:rsidRDefault="00CC0396" w:rsidP="00C76F64">
      <w:pPr>
        <w:spacing w:after="0" w:line="240" w:lineRule="auto"/>
        <w:rPr>
          <w:rFonts w:ascii="Times New Roman" w:eastAsia="Calibri" w:hAnsi="Times New Roman" w:cs="Times New Roman"/>
          <w:iCs/>
          <w:sz w:val="24"/>
          <w:szCs w:val="24"/>
        </w:rPr>
      </w:pPr>
    </w:p>
    <w:p w14:paraId="4F0DA8B9" w14:textId="77777777" w:rsidR="00CC0396" w:rsidRDefault="00CC0396" w:rsidP="00C76F64">
      <w:pPr>
        <w:spacing w:after="0" w:line="240" w:lineRule="auto"/>
        <w:rPr>
          <w:rFonts w:ascii="Times New Roman" w:eastAsia="Calibri" w:hAnsi="Times New Roman" w:cs="Times New Roman"/>
          <w:iCs/>
          <w:sz w:val="24"/>
          <w:szCs w:val="24"/>
        </w:rPr>
      </w:pPr>
    </w:p>
    <w:p w14:paraId="7E50622A" w14:textId="77777777" w:rsidR="00CC0396" w:rsidRDefault="00CC0396" w:rsidP="00C76F64">
      <w:pPr>
        <w:spacing w:after="0" w:line="240" w:lineRule="auto"/>
        <w:rPr>
          <w:rFonts w:ascii="Times New Roman" w:eastAsia="Calibri" w:hAnsi="Times New Roman" w:cs="Times New Roman"/>
          <w:iCs/>
          <w:sz w:val="24"/>
          <w:szCs w:val="24"/>
        </w:rPr>
      </w:pPr>
    </w:p>
    <w:p w14:paraId="7185F3F0" w14:textId="77777777" w:rsidR="00CC0396" w:rsidRDefault="00CC0396" w:rsidP="00C76F64">
      <w:pPr>
        <w:spacing w:after="0" w:line="240" w:lineRule="auto"/>
        <w:rPr>
          <w:rFonts w:ascii="Times New Roman" w:eastAsia="Calibri" w:hAnsi="Times New Roman" w:cs="Times New Roman"/>
          <w:iCs/>
          <w:sz w:val="24"/>
          <w:szCs w:val="24"/>
        </w:rPr>
      </w:pPr>
    </w:p>
    <w:p w14:paraId="14BD8D18" w14:textId="77777777" w:rsidR="00CC0396" w:rsidRDefault="00CC0396" w:rsidP="00C76F64">
      <w:pPr>
        <w:spacing w:after="0" w:line="240" w:lineRule="auto"/>
        <w:rPr>
          <w:rFonts w:ascii="Times New Roman" w:eastAsia="Calibri" w:hAnsi="Times New Roman" w:cs="Times New Roman"/>
          <w:iCs/>
          <w:sz w:val="24"/>
          <w:szCs w:val="24"/>
        </w:rPr>
      </w:pPr>
    </w:p>
    <w:p w14:paraId="4A53E865" w14:textId="77777777" w:rsidR="00CC0396" w:rsidRDefault="00CC0396" w:rsidP="00C76F64">
      <w:pPr>
        <w:spacing w:after="0" w:line="240" w:lineRule="auto"/>
        <w:rPr>
          <w:rFonts w:ascii="Times New Roman" w:eastAsia="Calibri" w:hAnsi="Times New Roman" w:cs="Times New Roman"/>
          <w:iCs/>
          <w:sz w:val="24"/>
          <w:szCs w:val="24"/>
        </w:rPr>
      </w:pPr>
    </w:p>
    <w:p w14:paraId="000E1BE7" w14:textId="77777777" w:rsidR="00CC0396" w:rsidRDefault="00CC0396" w:rsidP="00C76F64">
      <w:pPr>
        <w:spacing w:after="0" w:line="240" w:lineRule="auto"/>
        <w:rPr>
          <w:rFonts w:ascii="Times New Roman" w:eastAsia="Calibri" w:hAnsi="Times New Roman" w:cs="Times New Roman"/>
          <w:iCs/>
          <w:sz w:val="24"/>
          <w:szCs w:val="24"/>
        </w:rPr>
      </w:pPr>
    </w:p>
    <w:p w14:paraId="1CF5619D" w14:textId="77777777" w:rsidR="00CC0396" w:rsidRDefault="00CC0396" w:rsidP="00C76F64">
      <w:pPr>
        <w:spacing w:after="0" w:line="240" w:lineRule="auto"/>
        <w:rPr>
          <w:rFonts w:ascii="Times New Roman" w:eastAsia="Calibri" w:hAnsi="Times New Roman" w:cs="Times New Roman"/>
          <w:iCs/>
          <w:sz w:val="24"/>
          <w:szCs w:val="24"/>
        </w:rPr>
      </w:pPr>
    </w:p>
    <w:p w14:paraId="20955B70" w14:textId="77777777" w:rsidR="00CC0396" w:rsidRDefault="00CC0396" w:rsidP="00C76F64">
      <w:pPr>
        <w:spacing w:after="0" w:line="240" w:lineRule="auto"/>
        <w:rPr>
          <w:rFonts w:ascii="Times New Roman" w:eastAsia="Calibri" w:hAnsi="Times New Roman" w:cs="Times New Roman"/>
          <w:iCs/>
          <w:sz w:val="24"/>
          <w:szCs w:val="24"/>
        </w:rPr>
      </w:pPr>
    </w:p>
    <w:p w14:paraId="181408D9" w14:textId="77777777" w:rsidR="00CC0396" w:rsidRDefault="00CC0396" w:rsidP="00C76F64">
      <w:pPr>
        <w:spacing w:after="0" w:line="240" w:lineRule="auto"/>
        <w:rPr>
          <w:rFonts w:ascii="Times New Roman" w:eastAsia="Calibri" w:hAnsi="Times New Roman" w:cs="Times New Roman"/>
          <w:iCs/>
          <w:sz w:val="24"/>
          <w:szCs w:val="24"/>
        </w:rPr>
      </w:pPr>
    </w:p>
    <w:p w14:paraId="5DAB8383" w14:textId="77777777" w:rsidR="00CC0396" w:rsidRDefault="00CC0396" w:rsidP="00C76F64">
      <w:pPr>
        <w:spacing w:after="0" w:line="240" w:lineRule="auto"/>
        <w:rPr>
          <w:rFonts w:ascii="Times New Roman" w:eastAsia="Calibri" w:hAnsi="Times New Roman" w:cs="Times New Roman"/>
          <w:iCs/>
          <w:sz w:val="24"/>
          <w:szCs w:val="24"/>
        </w:rPr>
      </w:pPr>
    </w:p>
    <w:p w14:paraId="32B1DEEF" w14:textId="77777777" w:rsidR="00CC0396" w:rsidRDefault="00CC0396" w:rsidP="00C76F64">
      <w:pPr>
        <w:spacing w:after="0" w:line="240" w:lineRule="auto"/>
        <w:rPr>
          <w:rFonts w:ascii="Times New Roman" w:eastAsia="Calibri" w:hAnsi="Times New Roman" w:cs="Times New Roman"/>
          <w:iCs/>
          <w:sz w:val="24"/>
          <w:szCs w:val="24"/>
        </w:rPr>
      </w:pPr>
    </w:p>
    <w:p w14:paraId="72925E79" w14:textId="77777777" w:rsidR="00CC0396" w:rsidRDefault="00CC0396" w:rsidP="00C76F64">
      <w:pPr>
        <w:spacing w:after="0" w:line="240" w:lineRule="auto"/>
        <w:rPr>
          <w:rFonts w:ascii="Times New Roman" w:eastAsia="Calibri" w:hAnsi="Times New Roman" w:cs="Times New Roman"/>
          <w:iCs/>
          <w:sz w:val="24"/>
          <w:szCs w:val="24"/>
        </w:rPr>
      </w:pPr>
    </w:p>
    <w:p w14:paraId="3B5597EB" w14:textId="77777777" w:rsidR="00CC0396" w:rsidRDefault="00CC0396" w:rsidP="00C76F64">
      <w:pPr>
        <w:spacing w:after="0" w:line="240" w:lineRule="auto"/>
        <w:rPr>
          <w:rFonts w:ascii="Times New Roman" w:eastAsia="Calibri" w:hAnsi="Times New Roman" w:cs="Times New Roman"/>
          <w:iCs/>
          <w:sz w:val="24"/>
          <w:szCs w:val="24"/>
        </w:rPr>
      </w:pPr>
    </w:p>
    <w:p w14:paraId="0B5E40B6" w14:textId="77777777" w:rsidR="00CC0396" w:rsidRDefault="00CC0396" w:rsidP="00C76F64">
      <w:pPr>
        <w:spacing w:after="0" w:line="240" w:lineRule="auto"/>
        <w:rPr>
          <w:rFonts w:ascii="Times New Roman" w:eastAsia="Calibri" w:hAnsi="Times New Roman" w:cs="Times New Roman"/>
          <w:iCs/>
          <w:sz w:val="24"/>
          <w:szCs w:val="24"/>
        </w:rPr>
      </w:pPr>
    </w:p>
    <w:p w14:paraId="28809DAC" w14:textId="77777777" w:rsidR="00CC0396" w:rsidRDefault="00CC0396" w:rsidP="00C76F64">
      <w:pPr>
        <w:spacing w:after="0" w:line="240" w:lineRule="auto"/>
        <w:rPr>
          <w:rFonts w:ascii="Times New Roman" w:eastAsia="Calibri" w:hAnsi="Times New Roman" w:cs="Times New Roman"/>
          <w:iCs/>
          <w:sz w:val="24"/>
          <w:szCs w:val="24"/>
        </w:rPr>
      </w:pPr>
    </w:p>
    <w:p w14:paraId="128FE2D6" w14:textId="77777777" w:rsidR="00CC0396" w:rsidRDefault="00CC0396" w:rsidP="00C76F64">
      <w:pPr>
        <w:spacing w:after="0" w:line="240" w:lineRule="auto"/>
        <w:rPr>
          <w:rFonts w:ascii="Times New Roman" w:eastAsia="Calibri" w:hAnsi="Times New Roman" w:cs="Times New Roman"/>
          <w:iCs/>
          <w:sz w:val="24"/>
          <w:szCs w:val="24"/>
        </w:rPr>
      </w:pPr>
    </w:p>
    <w:p w14:paraId="09720424" w14:textId="77777777" w:rsidR="00CC0396" w:rsidRDefault="00CC0396" w:rsidP="00C76F64">
      <w:pPr>
        <w:spacing w:after="0" w:line="240" w:lineRule="auto"/>
        <w:rPr>
          <w:rFonts w:ascii="Times New Roman" w:eastAsia="Calibri" w:hAnsi="Times New Roman" w:cs="Times New Roman"/>
          <w:iCs/>
          <w:sz w:val="24"/>
          <w:szCs w:val="24"/>
        </w:rPr>
      </w:pPr>
    </w:p>
    <w:p w14:paraId="71785859" w14:textId="77777777" w:rsidR="00CC0396" w:rsidRDefault="00CC0396" w:rsidP="00C76F64">
      <w:pPr>
        <w:spacing w:after="0" w:line="240" w:lineRule="auto"/>
        <w:rPr>
          <w:rFonts w:ascii="Times New Roman" w:eastAsia="Calibri" w:hAnsi="Times New Roman" w:cs="Times New Roman"/>
          <w:iCs/>
          <w:sz w:val="24"/>
          <w:szCs w:val="24"/>
        </w:rPr>
      </w:pPr>
    </w:p>
    <w:p w14:paraId="6D228616" w14:textId="77777777" w:rsidR="006547C9" w:rsidRDefault="006547C9" w:rsidP="00C76F64">
      <w:pPr>
        <w:spacing w:after="0" w:line="240" w:lineRule="auto"/>
        <w:rPr>
          <w:rFonts w:ascii="Times New Roman" w:eastAsia="Calibri" w:hAnsi="Times New Roman" w:cs="Times New Roman"/>
          <w:iCs/>
          <w:sz w:val="24"/>
          <w:szCs w:val="24"/>
        </w:rPr>
      </w:pPr>
    </w:p>
    <w:p w14:paraId="7DD91561" w14:textId="77777777" w:rsidR="006547C9" w:rsidRPr="00573554" w:rsidRDefault="006547C9" w:rsidP="00C76F64">
      <w:pPr>
        <w:spacing w:after="0" w:line="240" w:lineRule="auto"/>
        <w:rPr>
          <w:rFonts w:ascii="Times New Roman" w:eastAsia="Calibri" w:hAnsi="Times New Roman" w:cs="Times New Roman"/>
          <w:iCs/>
          <w:sz w:val="24"/>
          <w:szCs w:val="24"/>
        </w:rPr>
      </w:pPr>
    </w:p>
    <w:p w14:paraId="0D022F93" w14:textId="77777777" w:rsidR="00377D34" w:rsidRPr="00573554" w:rsidRDefault="00377D34" w:rsidP="00C76F64">
      <w:pPr>
        <w:spacing w:after="0" w:line="240" w:lineRule="auto"/>
        <w:rPr>
          <w:rFonts w:ascii="Times New Roman" w:eastAsia="Calibri" w:hAnsi="Times New Roman" w:cs="Times New Roman"/>
          <w:iCs/>
          <w:sz w:val="24"/>
          <w:szCs w:val="24"/>
        </w:rPr>
      </w:pPr>
    </w:p>
    <w:p w14:paraId="600F7E74" w14:textId="1E818DA8" w:rsidR="00C76F64" w:rsidRPr="00573554" w:rsidRDefault="00C76F64" w:rsidP="00C76F64">
      <w:pPr>
        <w:spacing w:after="0" w:line="240" w:lineRule="auto"/>
        <w:rPr>
          <w:rFonts w:ascii="Times New Roman" w:eastAsia="Calibri" w:hAnsi="Times New Roman" w:cs="Times New Roman"/>
          <w:b/>
          <w:bCs/>
          <w:iCs/>
          <w:sz w:val="24"/>
          <w:szCs w:val="24"/>
          <w:u w:val="single"/>
        </w:rPr>
      </w:pPr>
      <w:r w:rsidRPr="00573554">
        <w:rPr>
          <w:rFonts w:ascii="Times New Roman" w:eastAsia="Calibri" w:hAnsi="Times New Roman" w:cs="Times New Roman"/>
          <w:b/>
          <w:bCs/>
          <w:iCs/>
          <w:sz w:val="24"/>
          <w:szCs w:val="24"/>
          <w:u w:val="single"/>
        </w:rPr>
        <w:lastRenderedPageBreak/>
        <w:t>Friday, October 2</w:t>
      </w:r>
      <w:r w:rsidR="00C80F47" w:rsidRPr="00573554">
        <w:rPr>
          <w:rFonts w:ascii="Times New Roman" w:eastAsia="Calibri" w:hAnsi="Times New Roman" w:cs="Times New Roman"/>
          <w:b/>
          <w:bCs/>
          <w:iCs/>
          <w:sz w:val="24"/>
          <w:szCs w:val="24"/>
          <w:u w:val="single"/>
        </w:rPr>
        <w:t>4</w:t>
      </w:r>
      <w:r w:rsidRPr="00573554">
        <w:rPr>
          <w:rFonts w:ascii="Times New Roman" w:eastAsia="Calibri" w:hAnsi="Times New Roman" w:cs="Times New Roman"/>
          <w:b/>
          <w:bCs/>
          <w:iCs/>
          <w:sz w:val="24"/>
          <w:szCs w:val="24"/>
          <w:u w:val="single"/>
        </w:rPr>
        <w:t>, 202</w:t>
      </w:r>
      <w:r w:rsidR="00C80F47" w:rsidRPr="00573554">
        <w:rPr>
          <w:rFonts w:ascii="Times New Roman" w:eastAsia="Calibri" w:hAnsi="Times New Roman" w:cs="Times New Roman"/>
          <w:b/>
          <w:bCs/>
          <w:iCs/>
          <w:sz w:val="24"/>
          <w:szCs w:val="24"/>
          <w:u w:val="single"/>
        </w:rPr>
        <w:t>5</w:t>
      </w:r>
      <w:r w:rsidR="005250A5" w:rsidRPr="00573554">
        <w:rPr>
          <w:rFonts w:ascii="Times New Roman" w:eastAsia="Calibri" w:hAnsi="Times New Roman" w:cs="Times New Roman"/>
          <w:b/>
          <w:bCs/>
          <w:iCs/>
          <w:sz w:val="24"/>
          <w:szCs w:val="24"/>
          <w:u w:val="single"/>
        </w:rPr>
        <w:t xml:space="preserve"> – </w:t>
      </w:r>
      <w:r w:rsidR="00C80F47" w:rsidRPr="00573554">
        <w:rPr>
          <w:rFonts w:ascii="Times New Roman" w:eastAsia="Calibri" w:hAnsi="Times New Roman" w:cs="Times New Roman"/>
          <w:b/>
          <w:bCs/>
          <w:iCs/>
          <w:sz w:val="24"/>
          <w:szCs w:val="24"/>
          <w:u w:val="single"/>
        </w:rPr>
        <w:t xml:space="preserve">College of Business </w:t>
      </w:r>
      <w:r w:rsidR="005250A5" w:rsidRPr="00573554">
        <w:rPr>
          <w:rFonts w:ascii="Times New Roman" w:eastAsia="Calibri" w:hAnsi="Times New Roman" w:cs="Times New Roman"/>
          <w:b/>
          <w:bCs/>
          <w:iCs/>
          <w:sz w:val="24"/>
          <w:szCs w:val="24"/>
          <w:u w:val="single"/>
        </w:rPr>
        <w:t>Room</w:t>
      </w:r>
      <w:r w:rsidR="0078243F" w:rsidRPr="00573554">
        <w:rPr>
          <w:rFonts w:ascii="Times New Roman" w:eastAsia="Calibri" w:hAnsi="Times New Roman" w:cs="Times New Roman"/>
          <w:b/>
          <w:bCs/>
          <w:iCs/>
          <w:sz w:val="24"/>
          <w:szCs w:val="24"/>
          <w:u w:val="single"/>
        </w:rPr>
        <w:t xml:space="preserve"> </w:t>
      </w:r>
      <w:r w:rsidR="00C80F47" w:rsidRPr="00573554">
        <w:rPr>
          <w:rFonts w:ascii="Times New Roman" w:eastAsia="Calibri" w:hAnsi="Times New Roman" w:cs="Times New Roman"/>
          <w:b/>
          <w:bCs/>
          <w:iCs/>
          <w:sz w:val="24"/>
          <w:szCs w:val="24"/>
          <w:u w:val="single"/>
        </w:rPr>
        <w:t>139</w:t>
      </w:r>
    </w:p>
    <w:p w14:paraId="0211CFDF" w14:textId="77777777" w:rsidR="0016492C" w:rsidRPr="00573554" w:rsidRDefault="0016492C" w:rsidP="00C76F64">
      <w:pPr>
        <w:spacing w:after="0" w:line="240" w:lineRule="auto"/>
        <w:rPr>
          <w:rFonts w:ascii="Times New Roman" w:eastAsia="Calibri" w:hAnsi="Times New Roman" w:cs="Times New Roman"/>
          <w:b/>
          <w:bCs/>
          <w:iCs/>
          <w:sz w:val="24"/>
          <w:szCs w:val="24"/>
        </w:rPr>
      </w:pPr>
    </w:p>
    <w:p w14:paraId="4D731AA1" w14:textId="560D92F2" w:rsidR="00C76F64" w:rsidRPr="004A048A" w:rsidRDefault="00F4432C" w:rsidP="00C76F64">
      <w:pPr>
        <w:spacing w:after="0" w:line="240" w:lineRule="auto"/>
        <w:rPr>
          <w:rFonts w:ascii="Times New Roman" w:eastAsia="Calibri" w:hAnsi="Times New Roman" w:cs="Times New Roman"/>
          <w:b/>
          <w:bCs/>
          <w:iCs/>
          <w:color w:val="EE0000"/>
          <w:sz w:val="24"/>
          <w:szCs w:val="24"/>
        </w:rPr>
      </w:pPr>
      <w:r w:rsidRPr="004A048A">
        <w:rPr>
          <w:rFonts w:ascii="Times New Roman" w:eastAsia="Calibri" w:hAnsi="Times New Roman" w:cs="Times New Roman"/>
          <w:b/>
          <w:bCs/>
          <w:iCs/>
          <w:color w:val="EE0000"/>
          <w:sz w:val="24"/>
          <w:szCs w:val="24"/>
        </w:rPr>
        <w:t>8:</w:t>
      </w:r>
      <w:r w:rsidR="00D94975" w:rsidRPr="004A048A">
        <w:rPr>
          <w:rFonts w:ascii="Times New Roman" w:eastAsia="Calibri" w:hAnsi="Times New Roman" w:cs="Times New Roman"/>
          <w:b/>
          <w:bCs/>
          <w:iCs/>
          <w:color w:val="EE0000"/>
          <w:sz w:val="24"/>
          <w:szCs w:val="24"/>
        </w:rPr>
        <w:t>00</w:t>
      </w:r>
      <w:r w:rsidRPr="004A048A">
        <w:rPr>
          <w:rFonts w:ascii="Times New Roman" w:eastAsia="Calibri" w:hAnsi="Times New Roman" w:cs="Times New Roman"/>
          <w:b/>
          <w:bCs/>
          <w:iCs/>
          <w:color w:val="EE0000"/>
          <w:sz w:val="24"/>
          <w:szCs w:val="24"/>
        </w:rPr>
        <w:t xml:space="preserve"> – </w:t>
      </w:r>
      <w:r w:rsidR="00D94975" w:rsidRPr="004A048A">
        <w:rPr>
          <w:rFonts w:ascii="Times New Roman" w:eastAsia="Calibri" w:hAnsi="Times New Roman" w:cs="Times New Roman"/>
          <w:b/>
          <w:bCs/>
          <w:iCs/>
          <w:color w:val="EE0000"/>
          <w:sz w:val="24"/>
          <w:szCs w:val="24"/>
        </w:rPr>
        <w:t>8</w:t>
      </w:r>
      <w:r w:rsidRPr="004A048A">
        <w:rPr>
          <w:rFonts w:ascii="Times New Roman" w:eastAsia="Calibri" w:hAnsi="Times New Roman" w:cs="Times New Roman"/>
          <w:b/>
          <w:bCs/>
          <w:iCs/>
          <w:color w:val="EE0000"/>
          <w:sz w:val="24"/>
          <w:szCs w:val="24"/>
        </w:rPr>
        <w:t>:</w:t>
      </w:r>
      <w:r w:rsidR="00D94975" w:rsidRPr="004A048A">
        <w:rPr>
          <w:rFonts w:ascii="Times New Roman" w:eastAsia="Calibri" w:hAnsi="Times New Roman" w:cs="Times New Roman"/>
          <w:b/>
          <w:bCs/>
          <w:iCs/>
          <w:color w:val="EE0000"/>
          <w:sz w:val="24"/>
          <w:szCs w:val="24"/>
        </w:rPr>
        <w:t>3</w:t>
      </w:r>
      <w:r w:rsidR="00AA18FB" w:rsidRPr="004A048A">
        <w:rPr>
          <w:rFonts w:ascii="Times New Roman" w:eastAsia="Calibri" w:hAnsi="Times New Roman" w:cs="Times New Roman"/>
          <w:b/>
          <w:bCs/>
          <w:iCs/>
          <w:color w:val="EE0000"/>
          <w:sz w:val="24"/>
          <w:szCs w:val="24"/>
        </w:rPr>
        <w:t>0</w:t>
      </w:r>
      <w:r w:rsidR="00C76F64" w:rsidRPr="004A048A">
        <w:rPr>
          <w:rFonts w:ascii="Times New Roman" w:eastAsia="Calibri" w:hAnsi="Times New Roman" w:cs="Times New Roman"/>
          <w:b/>
          <w:bCs/>
          <w:iCs/>
          <w:color w:val="EE0000"/>
          <w:sz w:val="24"/>
          <w:szCs w:val="24"/>
        </w:rPr>
        <w:t xml:space="preserve"> Check-In</w:t>
      </w:r>
      <w:r w:rsidR="00FA3566" w:rsidRPr="004A048A">
        <w:rPr>
          <w:rFonts w:ascii="Times New Roman" w:eastAsia="Calibri" w:hAnsi="Times New Roman" w:cs="Times New Roman"/>
          <w:b/>
          <w:bCs/>
          <w:iCs/>
          <w:color w:val="EE0000"/>
          <w:sz w:val="24"/>
          <w:szCs w:val="24"/>
        </w:rPr>
        <w:t xml:space="preserve"> and</w:t>
      </w:r>
      <w:r w:rsidR="00C76F64" w:rsidRPr="004A048A">
        <w:rPr>
          <w:rFonts w:ascii="Times New Roman" w:eastAsia="Calibri" w:hAnsi="Times New Roman" w:cs="Times New Roman"/>
          <w:b/>
          <w:bCs/>
          <w:i/>
          <w:color w:val="EE0000"/>
          <w:sz w:val="24"/>
          <w:szCs w:val="24"/>
        </w:rPr>
        <w:t xml:space="preserve"> </w:t>
      </w:r>
      <w:r w:rsidR="00C76F64" w:rsidRPr="004A048A">
        <w:rPr>
          <w:rFonts w:ascii="Times New Roman" w:eastAsia="Calibri" w:hAnsi="Times New Roman" w:cs="Times New Roman"/>
          <w:b/>
          <w:bCs/>
          <w:iCs/>
          <w:color w:val="EE0000"/>
          <w:sz w:val="24"/>
          <w:szCs w:val="24"/>
        </w:rPr>
        <w:t xml:space="preserve">Complimentary </w:t>
      </w:r>
      <w:r w:rsidR="00FF12B5" w:rsidRPr="004A048A">
        <w:rPr>
          <w:rFonts w:ascii="Times New Roman" w:eastAsia="Calibri" w:hAnsi="Times New Roman" w:cs="Times New Roman"/>
          <w:b/>
          <w:bCs/>
          <w:iCs/>
          <w:color w:val="EE0000"/>
          <w:sz w:val="24"/>
          <w:szCs w:val="24"/>
        </w:rPr>
        <w:t xml:space="preserve">Continental </w:t>
      </w:r>
      <w:r w:rsidR="00C76F64" w:rsidRPr="004A048A">
        <w:rPr>
          <w:rFonts w:ascii="Times New Roman" w:eastAsia="Calibri" w:hAnsi="Times New Roman" w:cs="Times New Roman"/>
          <w:b/>
          <w:bCs/>
          <w:iCs/>
          <w:color w:val="EE0000"/>
          <w:sz w:val="24"/>
          <w:szCs w:val="24"/>
        </w:rPr>
        <w:t>Breakfast</w:t>
      </w:r>
      <w:r w:rsidR="00C76F64" w:rsidRPr="004A048A">
        <w:rPr>
          <w:rFonts w:ascii="Times New Roman" w:eastAsia="Calibri" w:hAnsi="Times New Roman" w:cs="Times New Roman"/>
          <w:b/>
          <w:bCs/>
          <w:i/>
          <w:color w:val="EE0000"/>
          <w:sz w:val="24"/>
          <w:szCs w:val="24"/>
        </w:rPr>
        <w:t xml:space="preserve"> </w:t>
      </w:r>
    </w:p>
    <w:p w14:paraId="53D1814E" w14:textId="77777777" w:rsidR="00C76F64" w:rsidRPr="00573554" w:rsidRDefault="00C76F64" w:rsidP="00C76F64">
      <w:pPr>
        <w:spacing w:after="0" w:line="240" w:lineRule="auto"/>
        <w:rPr>
          <w:rFonts w:ascii="Times New Roman" w:eastAsia="Calibri" w:hAnsi="Times New Roman" w:cs="Times New Roman"/>
          <w:iCs/>
          <w:sz w:val="24"/>
          <w:szCs w:val="24"/>
        </w:rPr>
      </w:pPr>
    </w:p>
    <w:p w14:paraId="275A7FFA" w14:textId="02A82EA1" w:rsidR="00C76F64" w:rsidRPr="00573554" w:rsidRDefault="00D94975" w:rsidP="00C76F64">
      <w:pPr>
        <w:spacing w:after="0" w:line="240" w:lineRule="auto"/>
        <w:rPr>
          <w:rFonts w:ascii="Times New Roman" w:eastAsia="Calibri" w:hAnsi="Times New Roman" w:cs="Times New Roman"/>
          <w:b/>
          <w:bCs/>
          <w:iCs/>
          <w:sz w:val="24"/>
          <w:szCs w:val="24"/>
        </w:rPr>
      </w:pPr>
      <w:r w:rsidRPr="00573554">
        <w:rPr>
          <w:rFonts w:ascii="Times New Roman" w:eastAsia="Calibri" w:hAnsi="Times New Roman" w:cs="Times New Roman"/>
          <w:b/>
          <w:bCs/>
          <w:iCs/>
          <w:sz w:val="24"/>
          <w:szCs w:val="24"/>
        </w:rPr>
        <w:t>8</w:t>
      </w:r>
      <w:r w:rsidR="00C76F64" w:rsidRPr="00573554">
        <w:rPr>
          <w:rFonts w:ascii="Times New Roman" w:eastAsia="Calibri" w:hAnsi="Times New Roman" w:cs="Times New Roman"/>
          <w:b/>
          <w:bCs/>
          <w:iCs/>
          <w:sz w:val="24"/>
          <w:szCs w:val="24"/>
        </w:rPr>
        <w:t>:</w:t>
      </w:r>
      <w:r w:rsidRPr="00573554">
        <w:rPr>
          <w:rFonts w:ascii="Times New Roman" w:eastAsia="Calibri" w:hAnsi="Times New Roman" w:cs="Times New Roman"/>
          <w:b/>
          <w:bCs/>
          <w:iCs/>
          <w:sz w:val="24"/>
          <w:szCs w:val="24"/>
        </w:rPr>
        <w:t>3</w:t>
      </w:r>
      <w:r w:rsidR="00A42327" w:rsidRPr="00573554">
        <w:rPr>
          <w:rFonts w:ascii="Times New Roman" w:eastAsia="Calibri" w:hAnsi="Times New Roman" w:cs="Times New Roman"/>
          <w:b/>
          <w:bCs/>
          <w:iCs/>
          <w:sz w:val="24"/>
          <w:szCs w:val="24"/>
        </w:rPr>
        <w:t>0</w:t>
      </w:r>
      <w:r w:rsidR="00C76F64" w:rsidRPr="00573554">
        <w:rPr>
          <w:rFonts w:ascii="Times New Roman" w:eastAsia="Calibri" w:hAnsi="Times New Roman" w:cs="Times New Roman"/>
          <w:b/>
          <w:bCs/>
          <w:iCs/>
          <w:sz w:val="24"/>
          <w:szCs w:val="24"/>
        </w:rPr>
        <w:t xml:space="preserve"> – </w:t>
      </w:r>
      <w:r w:rsidRPr="00573554">
        <w:rPr>
          <w:rFonts w:ascii="Times New Roman" w:eastAsia="Calibri" w:hAnsi="Times New Roman" w:cs="Times New Roman"/>
          <w:b/>
          <w:bCs/>
          <w:iCs/>
          <w:sz w:val="24"/>
          <w:szCs w:val="24"/>
        </w:rPr>
        <w:t>8</w:t>
      </w:r>
      <w:r w:rsidR="00A42327" w:rsidRPr="00573554">
        <w:rPr>
          <w:rFonts w:ascii="Times New Roman" w:eastAsia="Calibri" w:hAnsi="Times New Roman" w:cs="Times New Roman"/>
          <w:b/>
          <w:bCs/>
          <w:iCs/>
          <w:sz w:val="24"/>
          <w:szCs w:val="24"/>
        </w:rPr>
        <w:t>:</w:t>
      </w:r>
      <w:r w:rsidRPr="00573554">
        <w:rPr>
          <w:rFonts w:ascii="Times New Roman" w:eastAsia="Calibri" w:hAnsi="Times New Roman" w:cs="Times New Roman"/>
          <w:b/>
          <w:bCs/>
          <w:iCs/>
          <w:sz w:val="24"/>
          <w:szCs w:val="24"/>
        </w:rPr>
        <w:t>4</w:t>
      </w:r>
      <w:r w:rsidR="00FE0AAD" w:rsidRPr="00573554">
        <w:rPr>
          <w:rFonts w:ascii="Times New Roman" w:eastAsia="Calibri" w:hAnsi="Times New Roman" w:cs="Times New Roman"/>
          <w:b/>
          <w:bCs/>
          <w:iCs/>
          <w:sz w:val="24"/>
          <w:szCs w:val="24"/>
        </w:rPr>
        <w:t xml:space="preserve">5 </w:t>
      </w:r>
      <w:r w:rsidR="00C76F64" w:rsidRPr="00573554">
        <w:rPr>
          <w:rFonts w:ascii="Times New Roman" w:eastAsia="Calibri" w:hAnsi="Times New Roman" w:cs="Times New Roman"/>
          <w:b/>
          <w:bCs/>
          <w:iCs/>
          <w:sz w:val="24"/>
          <w:szCs w:val="24"/>
        </w:rPr>
        <w:t xml:space="preserve">Welcome </w:t>
      </w:r>
      <w:r w:rsidR="00F4432C" w:rsidRPr="00573554">
        <w:rPr>
          <w:rFonts w:ascii="Times New Roman" w:eastAsia="Calibri" w:hAnsi="Times New Roman" w:cs="Times New Roman"/>
          <w:b/>
          <w:bCs/>
          <w:iCs/>
          <w:sz w:val="24"/>
          <w:szCs w:val="24"/>
        </w:rPr>
        <w:t>Back and</w:t>
      </w:r>
      <w:r w:rsidR="00721535" w:rsidRPr="00573554">
        <w:rPr>
          <w:rFonts w:ascii="Times New Roman" w:eastAsia="Calibri" w:hAnsi="Times New Roman" w:cs="Times New Roman"/>
          <w:b/>
          <w:bCs/>
          <w:iCs/>
          <w:sz w:val="24"/>
          <w:szCs w:val="24"/>
        </w:rPr>
        <w:t xml:space="preserve"> Questions</w:t>
      </w:r>
    </w:p>
    <w:p w14:paraId="2B3B2F38" w14:textId="77777777" w:rsidR="000C4BF1" w:rsidRPr="00573554" w:rsidRDefault="000C4BF1" w:rsidP="00C76F64">
      <w:pPr>
        <w:spacing w:after="0" w:line="240" w:lineRule="auto"/>
        <w:rPr>
          <w:rFonts w:ascii="Times New Roman" w:eastAsia="Calibri" w:hAnsi="Times New Roman" w:cs="Times New Roman"/>
          <w:b/>
          <w:bCs/>
          <w:iCs/>
          <w:sz w:val="24"/>
          <w:szCs w:val="24"/>
        </w:rPr>
      </w:pPr>
    </w:p>
    <w:p w14:paraId="6A99B203" w14:textId="1CC8C310" w:rsidR="00C76F64" w:rsidRPr="00573554" w:rsidRDefault="00D94975" w:rsidP="00C76F64">
      <w:pPr>
        <w:spacing w:after="0" w:line="240" w:lineRule="auto"/>
        <w:rPr>
          <w:rFonts w:ascii="Times New Roman" w:eastAsia="Calibri" w:hAnsi="Times New Roman" w:cs="Times New Roman"/>
          <w:b/>
          <w:bCs/>
          <w:iCs/>
          <w:sz w:val="24"/>
          <w:szCs w:val="24"/>
        </w:rPr>
      </w:pPr>
      <w:r w:rsidRPr="00573554">
        <w:rPr>
          <w:rFonts w:ascii="Times New Roman" w:eastAsia="Calibri" w:hAnsi="Times New Roman" w:cs="Times New Roman"/>
          <w:b/>
          <w:bCs/>
          <w:iCs/>
          <w:sz w:val="24"/>
          <w:szCs w:val="24"/>
        </w:rPr>
        <w:t>8:45</w:t>
      </w:r>
      <w:r w:rsidR="00C76F64" w:rsidRPr="00573554">
        <w:rPr>
          <w:rFonts w:ascii="Times New Roman" w:eastAsia="Calibri" w:hAnsi="Times New Roman" w:cs="Times New Roman"/>
          <w:b/>
          <w:bCs/>
          <w:iCs/>
          <w:sz w:val="24"/>
          <w:szCs w:val="24"/>
        </w:rPr>
        <w:t xml:space="preserve"> – 1</w:t>
      </w:r>
      <w:r w:rsidR="002B2F18" w:rsidRPr="00573554">
        <w:rPr>
          <w:rFonts w:ascii="Times New Roman" w:eastAsia="Calibri" w:hAnsi="Times New Roman" w:cs="Times New Roman"/>
          <w:b/>
          <w:bCs/>
          <w:iCs/>
          <w:sz w:val="24"/>
          <w:szCs w:val="24"/>
        </w:rPr>
        <w:t>2</w:t>
      </w:r>
      <w:r w:rsidR="00C76F64" w:rsidRPr="00573554">
        <w:rPr>
          <w:rFonts w:ascii="Times New Roman" w:eastAsia="Calibri" w:hAnsi="Times New Roman" w:cs="Times New Roman"/>
          <w:b/>
          <w:bCs/>
          <w:iCs/>
          <w:sz w:val="24"/>
          <w:szCs w:val="24"/>
        </w:rPr>
        <w:t>:</w:t>
      </w:r>
      <w:r w:rsidR="00206D92" w:rsidRPr="00573554">
        <w:rPr>
          <w:rFonts w:ascii="Times New Roman" w:eastAsia="Calibri" w:hAnsi="Times New Roman" w:cs="Times New Roman"/>
          <w:b/>
          <w:bCs/>
          <w:iCs/>
          <w:sz w:val="24"/>
          <w:szCs w:val="24"/>
        </w:rPr>
        <w:t>00</w:t>
      </w:r>
      <w:r w:rsidR="00C76F64" w:rsidRPr="00573554">
        <w:rPr>
          <w:rFonts w:ascii="Times New Roman" w:eastAsia="Calibri" w:hAnsi="Times New Roman" w:cs="Times New Roman"/>
          <w:b/>
          <w:bCs/>
          <w:iCs/>
          <w:sz w:val="24"/>
          <w:szCs w:val="24"/>
        </w:rPr>
        <w:t xml:space="preserve"> S</w:t>
      </w:r>
      <w:r w:rsidR="00FF12B5" w:rsidRPr="00573554">
        <w:rPr>
          <w:rFonts w:ascii="Times New Roman" w:eastAsia="Calibri" w:hAnsi="Times New Roman" w:cs="Times New Roman"/>
          <w:b/>
          <w:bCs/>
          <w:iCs/>
          <w:sz w:val="24"/>
          <w:szCs w:val="24"/>
        </w:rPr>
        <w:t>ESSION 1</w:t>
      </w:r>
      <w:r w:rsidR="00C76F64" w:rsidRPr="00573554">
        <w:rPr>
          <w:rFonts w:ascii="Times New Roman" w:eastAsia="Calibri" w:hAnsi="Times New Roman" w:cs="Times New Roman"/>
          <w:b/>
          <w:bCs/>
          <w:iCs/>
          <w:sz w:val="24"/>
          <w:szCs w:val="24"/>
        </w:rPr>
        <w:t xml:space="preserve"> </w:t>
      </w:r>
    </w:p>
    <w:p w14:paraId="12B7B00C" w14:textId="77777777" w:rsidR="00002740" w:rsidRPr="00573554" w:rsidRDefault="00002740" w:rsidP="00C76F64">
      <w:pPr>
        <w:spacing w:after="0" w:line="240" w:lineRule="auto"/>
        <w:rPr>
          <w:rFonts w:ascii="Times New Roman" w:eastAsia="Calibri" w:hAnsi="Times New Roman" w:cs="Times New Roman"/>
          <w:iCs/>
          <w:sz w:val="24"/>
          <w:szCs w:val="24"/>
        </w:rPr>
      </w:pPr>
    </w:p>
    <w:p w14:paraId="57180B86" w14:textId="632C28D0" w:rsidR="00AD7B5A" w:rsidRPr="00573554" w:rsidRDefault="0040302C" w:rsidP="004D23B1">
      <w:pPr>
        <w:ind w:left="360"/>
        <w:rPr>
          <w:rFonts w:ascii="Times New Roman" w:hAnsi="Times New Roman" w:cs="Times New Roman"/>
          <w:sz w:val="24"/>
          <w:szCs w:val="24"/>
          <w:u w:val="single"/>
        </w:rPr>
      </w:pPr>
      <w:r w:rsidRPr="00573554">
        <w:rPr>
          <w:rFonts w:ascii="Times New Roman" w:hAnsi="Times New Roman" w:cs="Times New Roman"/>
          <w:sz w:val="24"/>
          <w:szCs w:val="24"/>
          <w:u w:val="single"/>
        </w:rPr>
        <w:t>8</w:t>
      </w:r>
      <w:r w:rsidR="008777B8" w:rsidRPr="00573554">
        <w:rPr>
          <w:rFonts w:ascii="Times New Roman" w:hAnsi="Times New Roman" w:cs="Times New Roman"/>
          <w:sz w:val="24"/>
          <w:szCs w:val="24"/>
          <w:u w:val="single"/>
        </w:rPr>
        <w:t>:</w:t>
      </w:r>
      <w:r w:rsidRPr="00573554">
        <w:rPr>
          <w:rFonts w:ascii="Times New Roman" w:hAnsi="Times New Roman" w:cs="Times New Roman"/>
          <w:sz w:val="24"/>
          <w:szCs w:val="24"/>
          <w:u w:val="single"/>
        </w:rPr>
        <w:t>45</w:t>
      </w:r>
      <w:r w:rsidR="008777B8" w:rsidRPr="00573554">
        <w:rPr>
          <w:rFonts w:ascii="Times New Roman" w:hAnsi="Times New Roman" w:cs="Times New Roman"/>
          <w:sz w:val="24"/>
          <w:szCs w:val="24"/>
          <w:u w:val="single"/>
        </w:rPr>
        <w:t xml:space="preserve"> – 9:</w:t>
      </w:r>
      <w:r w:rsidRPr="00573554">
        <w:rPr>
          <w:rFonts w:ascii="Times New Roman" w:hAnsi="Times New Roman" w:cs="Times New Roman"/>
          <w:sz w:val="24"/>
          <w:szCs w:val="24"/>
          <w:u w:val="single"/>
        </w:rPr>
        <w:t>15</w:t>
      </w:r>
      <w:r w:rsidR="00124438" w:rsidRPr="00573554">
        <w:rPr>
          <w:rFonts w:ascii="Times New Roman" w:hAnsi="Times New Roman" w:cs="Times New Roman"/>
          <w:sz w:val="24"/>
          <w:szCs w:val="24"/>
          <w:u w:val="single"/>
        </w:rPr>
        <w:t xml:space="preserve"> Peter Prescott and Kathy</w:t>
      </w:r>
      <w:r w:rsidR="005B3943" w:rsidRPr="00573554">
        <w:rPr>
          <w:rFonts w:ascii="Times New Roman" w:hAnsi="Times New Roman" w:cs="Times New Roman"/>
          <w:sz w:val="24"/>
          <w:szCs w:val="24"/>
          <w:u w:val="single"/>
        </w:rPr>
        <w:t xml:space="preserve"> Paulson Gjerde</w:t>
      </w:r>
      <w:r w:rsidR="00124438" w:rsidRPr="00573554">
        <w:rPr>
          <w:rFonts w:ascii="Times New Roman" w:hAnsi="Times New Roman" w:cs="Times New Roman"/>
          <w:sz w:val="24"/>
          <w:szCs w:val="24"/>
          <w:u w:val="single"/>
        </w:rPr>
        <w:t>, Butler University</w:t>
      </w:r>
      <w:r w:rsidR="004D23B1">
        <w:rPr>
          <w:rFonts w:ascii="Times New Roman" w:hAnsi="Times New Roman" w:cs="Times New Roman"/>
          <w:sz w:val="24"/>
          <w:szCs w:val="24"/>
          <w:u w:val="single"/>
        </w:rPr>
        <w:t>, presented by Peter Prescott</w:t>
      </w:r>
      <w:r w:rsidR="00124438" w:rsidRPr="00573554">
        <w:rPr>
          <w:rFonts w:ascii="Times New Roman" w:hAnsi="Times New Roman" w:cs="Times New Roman"/>
          <w:sz w:val="24"/>
          <w:szCs w:val="24"/>
          <w:u w:val="single"/>
        </w:rPr>
        <w:t xml:space="preserve">  </w:t>
      </w:r>
    </w:p>
    <w:p w14:paraId="5A092A68" w14:textId="6C8E250B" w:rsidR="00956861" w:rsidRPr="00573554" w:rsidRDefault="00956861" w:rsidP="00EA174F">
      <w:pPr>
        <w:spacing w:after="0" w:line="240" w:lineRule="auto"/>
        <w:ind w:firstLine="720"/>
        <w:jc w:val="center"/>
        <w:rPr>
          <w:rFonts w:ascii="Times New Roman" w:eastAsia="Times New Roman" w:hAnsi="Times New Roman" w:cs="Times New Roman"/>
          <w:b/>
          <w:bCs/>
          <w:noProof/>
          <w:sz w:val="24"/>
          <w:szCs w:val="24"/>
        </w:rPr>
      </w:pPr>
      <w:r w:rsidRPr="00573554">
        <w:rPr>
          <w:rFonts w:ascii="Times New Roman" w:eastAsia="Times New Roman" w:hAnsi="Times New Roman" w:cs="Times New Roman"/>
          <w:b/>
          <w:bCs/>
          <w:noProof/>
          <w:sz w:val="24"/>
          <w:szCs w:val="24"/>
        </w:rPr>
        <w:t>Empirical Evidence on the NIL and Transfer Portal Era in NCAA Division I Men’s Basketball</w:t>
      </w:r>
    </w:p>
    <w:p w14:paraId="7F52CB47" w14:textId="77777777" w:rsidR="00EA174F" w:rsidRPr="00573554" w:rsidRDefault="00EA174F" w:rsidP="00EA174F">
      <w:pPr>
        <w:spacing w:after="0" w:line="240" w:lineRule="auto"/>
        <w:ind w:firstLine="720"/>
        <w:jc w:val="center"/>
        <w:rPr>
          <w:rFonts w:ascii="Times New Roman" w:eastAsia="Calibri" w:hAnsi="Times New Roman" w:cs="Times New Roman"/>
          <w:b/>
          <w:bCs/>
          <w:sz w:val="24"/>
          <w:szCs w:val="24"/>
        </w:rPr>
      </w:pPr>
    </w:p>
    <w:p w14:paraId="271EBAEA" w14:textId="3A4F5EEA" w:rsidR="00956861" w:rsidRPr="00573554" w:rsidRDefault="00956861" w:rsidP="00EA174F">
      <w:pPr>
        <w:spacing w:after="0" w:line="240" w:lineRule="auto"/>
        <w:ind w:firstLine="720"/>
        <w:jc w:val="center"/>
        <w:rPr>
          <w:rFonts w:ascii="Times New Roman" w:eastAsia="Calibri" w:hAnsi="Times New Roman" w:cs="Times New Roman"/>
          <w:b/>
          <w:bCs/>
          <w:sz w:val="24"/>
          <w:szCs w:val="24"/>
        </w:rPr>
      </w:pPr>
      <w:r w:rsidRPr="00573554">
        <w:rPr>
          <w:rFonts w:ascii="Times New Roman" w:eastAsia="Calibri" w:hAnsi="Times New Roman" w:cs="Times New Roman"/>
          <w:b/>
          <w:bCs/>
          <w:sz w:val="24"/>
          <w:szCs w:val="24"/>
        </w:rPr>
        <w:t>ABSTRACT</w:t>
      </w:r>
    </w:p>
    <w:p w14:paraId="79EFFDDE" w14:textId="637F564D" w:rsidR="00956861" w:rsidRPr="00573554" w:rsidRDefault="00956861" w:rsidP="00EA174F">
      <w:pPr>
        <w:spacing w:after="0" w:line="240" w:lineRule="auto"/>
        <w:ind w:left="720"/>
        <w:rPr>
          <w:rFonts w:ascii="Times New Roman" w:eastAsia="Times New Roman" w:hAnsi="Times New Roman" w:cs="Times New Roman"/>
          <w:sz w:val="24"/>
          <w:szCs w:val="24"/>
        </w:rPr>
      </w:pPr>
      <w:r w:rsidRPr="00573554">
        <w:rPr>
          <w:rFonts w:ascii="Times New Roman" w:eastAsia="Calibri" w:hAnsi="Times New Roman" w:cs="Times New Roman"/>
          <w:sz w:val="24"/>
          <w:szCs w:val="24"/>
        </w:rPr>
        <w:t>This study examines the impact of the NCAA’s 2021 policy changes permitting unrestricted name, image, and likeness (NIL) compensation and greater player mobility on dominance in NCAA Division I men’s basketball. Using a dynamic panel model, we analyze six seasons of data from 75 teams in the Power 6 conferences. Contrary</w:t>
      </w:r>
      <w:r w:rsidRPr="00573554">
        <w:rPr>
          <w:rFonts w:ascii="Times New Roman" w:eastAsia="Times New Roman" w:hAnsi="Times New Roman" w:cs="Times New Roman"/>
          <w:sz w:val="24"/>
          <w:szCs w:val="24"/>
        </w:rPr>
        <w:t xml:space="preserve"> to predictions that these policy changes would entrench dominance among elite programs, we find that across-season dominance declined in the two years following NIL’s implementation. This result suggests a diffusion of power, at least in the short term. Additionally, we explore how coaching changes, player continuity, transfer reliance, and athletic department spending affect team success. While player experience and continuity, as well as spending, contribute modestly to team performance, coach credentials and recruit rankings have no statistically significant predictive power. These findings offer timely insights into how structural changes in collegiate athletics may be reshaping long-term competitive dynamics.</w:t>
      </w:r>
    </w:p>
    <w:p w14:paraId="6B1AB010" w14:textId="77777777" w:rsidR="00721535" w:rsidRPr="00573554" w:rsidRDefault="00721535" w:rsidP="00C32BD8">
      <w:pPr>
        <w:ind w:left="720"/>
        <w:rPr>
          <w:rFonts w:ascii="Times New Roman" w:hAnsi="Times New Roman" w:cs="Times New Roman"/>
          <w:sz w:val="24"/>
          <w:szCs w:val="24"/>
        </w:rPr>
      </w:pPr>
    </w:p>
    <w:p w14:paraId="59E137F0" w14:textId="7DCE8998" w:rsidR="00C32BD8" w:rsidRPr="00573554" w:rsidRDefault="0094095D" w:rsidP="00E55B47">
      <w:pPr>
        <w:ind w:left="360"/>
        <w:rPr>
          <w:rFonts w:ascii="Times New Roman" w:hAnsi="Times New Roman" w:cs="Times New Roman"/>
          <w:sz w:val="24"/>
          <w:szCs w:val="24"/>
          <w:u w:val="single"/>
        </w:rPr>
      </w:pPr>
      <w:r w:rsidRPr="00573554">
        <w:rPr>
          <w:rFonts w:ascii="Times New Roman" w:hAnsi="Times New Roman" w:cs="Times New Roman"/>
          <w:sz w:val="24"/>
          <w:szCs w:val="24"/>
          <w:u w:val="single"/>
        </w:rPr>
        <w:t>9:</w:t>
      </w:r>
      <w:r w:rsidR="0040302C" w:rsidRPr="00573554">
        <w:rPr>
          <w:rFonts w:ascii="Times New Roman" w:hAnsi="Times New Roman" w:cs="Times New Roman"/>
          <w:sz w:val="24"/>
          <w:szCs w:val="24"/>
          <w:u w:val="single"/>
        </w:rPr>
        <w:t>15</w:t>
      </w:r>
      <w:r w:rsidRPr="00573554">
        <w:rPr>
          <w:rFonts w:ascii="Times New Roman" w:hAnsi="Times New Roman" w:cs="Times New Roman"/>
          <w:sz w:val="24"/>
          <w:szCs w:val="24"/>
          <w:u w:val="single"/>
        </w:rPr>
        <w:t xml:space="preserve"> – </w:t>
      </w:r>
      <w:r w:rsidR="0040302C" w:rsidRPr="00573554">
        <w:rPr>
          <w:rFonts w:ascii="Times New Roman" w:hAnsi="Times New Roman" w:cs="Times New Roman"/>
          <w:sz w:val="24"/>
          <w:szCs w:val="24"/>
          <w:u w:val="single"/>
        </w:rPr>
        <w:t>9</w:t>
      </w:r>
      <w:r w:rsidR="00760CAA" w:rsidRPr="00573554">
        <w:rPr>
          <w:rFonts w:ascii="Times New Roman" w:hAnsi="Times New Roman" w:cs="Times New Roman"/>
          <w:sz w:val="24"/>
          <w:szCs w:val="24"/>
          <w:u w:val="single"/>
        </w:rPr>
        <w:t>:</w:t>
      </w:r>
      <w:r w:rsidR="0040302C" w:rsidRPr="00573554">
        <w:rPr>
          <w:rFonts w:ascii="Times New Roman" w:hAnsi="Times New Roman" w:cs="Times New Roman"/>
          <w:sz w:val="24"/>
          <w:szCs w:val="24"/>
          <w:u w:val="single"/>
        </w:rPr>
        <w:t>45</w:t>
      </w:r>
      <w:r w:rsidR="0094285A" w:rsidRPr="00573554">
        <w:rPr>
          <w:rFonts w:ascii="Times New Roman" w:hAnsi="Times New Roman" w:cs="Times New Roman"/>
          <w:sz w:val="24"/>
          <w:szCs w:val="24"/>
          <w:u w:val="single"/>
        </w:rPr>
        <w:t xml:space="preserve"> Jessica </w:t>
      </w:r>
      <w:r w:rsidR="00533D0C" w:rsidRPr="00573554">
        <w:rPr>
          <w:rFonts w:ascii="Times New Roman" w:hAnsi="Times New Roman" w:cs="Times New Roman"/>
          <w:sz w:val="24"/>
          <w:szCs w:val="24"/>
          <w:u w:val="single"/>
        </w:rPr>
        <w:t>A. Magaldi</w:t>
      </w:r>
      <w:r w:rsidR="00D46D1A" w:rsidRPr="00573554">
        <w:rPr>
          <w:rFonts w:ascii="Times New Roman" w:hAnsi="Times New Roman" w:cs="Times New Roman"/>
          <w:sz w:val="24"/>
          <w:szCs w:val="24"/>
          <w:u w:val="single"/>
        </w:rPr>
        <w:t xml:space="preserve"> &amp; Jonathna Sales</w:t>
      </w:r>
      <w:r w:rsidR="00533D0C" w:rsidRPr="00573554">
        <w:rPr>
          <w:rFonts w:ascii="Times New Roman" w:hAnsi="Times New Roman" w:cs="Times New Roman"/>
          <w:sz w:val="24"/>
          <w:szCs w:val="24"/>
          <w:u w:val="single"/>
        </w:rPr>
        <w:t>, Pace University</w:t>
      </w:r>
      <w:r w:rsidR="00D46D1A" w:rsidRPr="00573554">
        <w:rPr>
          <w:rFonts w:ascii="Times New Roman" w:hAnsi="Times New Roman" w:cs="Times New Roman"/>
          <w:sz w:val="24"/>
          <w:szCs w:val="24"/>
          <w:u w:val="single"/>
        </w:rPr>
        <w:t xml:space="preserve">, Presented by Jessica </w:t>
      </w:r>
      <w:r w:rsidR="00E55B47" w:rsidRPr="00573554">
        <w:rPr>
          <w:rFonts w:ascii="Times New Roman" w:hAnsi="Times New Roman" w:cs="Times New Roman"/>
          <w:sz w:val="24"/>
          <w:szCs w:val="24"/>
          <w:u w:val="single"/>
        </w:rPr>
        <w:t>A. Magaldi</w:t>
      </w:r>
    </w:p>
    <w:p w14:paraId="5F029974" w14:textId="77777777" w:rsidR="0094285A" w:rsidRPr="00573554" w:rsidRDefault="0094285A" w:rsidP="0094285A">
      <w:pPr>
        <w:spacing w:after="0" w:line="240" w:lineRule="auto"/>
        <w:jc w:val="center"/>
        <w:rPr>
          <w:rFonts w:ascii="Times New Roman" w:eastAsia="Calibri" w:hAnsi="Times New Roman" w:cs="Times New Roman"/>
          <w:b/>
          <w:bCs/>
          <w:sz w:val="24"/>
          <w:szCs w:val="24"/>
        </w:rPr>
      </w:pPr>
      <w:r w:rsidRPr="00573554">
        <w:rPr>
          <w:rFonts w:ascii="Times New Roman" w:eastAsia="Calibri" w:hAnsi="Times New Roman" w:cs="Times New Roman"/>
          <w:b/>
          <w:bCs/>
          <w:sz w:val="24"/>
          <w:szCs w:val="24"/>
        </w:rPr>
        <w:t>Women on Corporate Boards Leads to More Effective Corporate Governance:</w:t>
      </w:r>
    </w:p>
    <w:p w14:paraId="01C5E7C3" w14:textId="77777777" w:rsidR="0094285A" w:rsidRPr="00573554" w:rsidRDefault="0094285A" w:rsidP="0094285A">
      <w:pPr>
        <w:spacing w:after="0" w:line="240" w:lineRule="auto"/>
        <w:jc w:val="center"/>
        <w:rPr>
          <w:rFonts w:ascii="Times New Roman" w:eastAsia="Calibri" w:hAnsi="Times New Roman" w:cs="Times New Roman"/>
          <w:b/>
          <w:bCs/>
          <w:sz w:val="24"/>
          <w:szCs w:val="24"/>
        </w:rPr>
      </w:pPr>
      <w:r w:rsidRPr="00573554">
        <w:rPr>
          <w:rFonts w:ascii="Times New Roman" w:eastAsia="Calibri" w:hAnsi="Times New Roman" w:cs="Times New Roman"/>
          <w:b/>
          <w:bCs/>
          <w:sz w:val="24"/>
          <w:szCs w:val="24"/>
        </w:rPr>
        <w:t>An Analysis of FCPA Prosecutions and Gender Diversity</w:t>
      </w:r>
    </w:p>
    <w:p w14:paraId="2058D78B" w14:textId="77777777" w:rsidR="0094285A" w:rsidRPr="00573554" w:rsidRDefault="0094285A" w:rsidP="0094285A">
      <w:pPr>
        <w:spacing w:after="0" w:line="240" w:lineRule="auto"/>
        <w:rPr>
          <w:rFonts w:ascii="Times New Roman" w:eastAsia="Calibri" w:hAnsi="Times New Roman" w:cs="Times New Roman"/>
          <w:sz w:val="24"/>
          <w:szCs w:val="24"/>
        </w:rPr>
      </w:pPr>
    </w:p>
    <w:p w14:paraId="6EF2540B" w14:textId="490CAF44" w:rsidR="0094285A" w:rsidRPr="00573554" w:rsidRDefault="00533D0C" w:rsidP="00533D0C">
      <w:pPr>
        <w:spacing w:after="0" w:line="240" w:lineRule="auto"/>
        <w:jc w:val="center"/>
        <w:rPr>
          <w:rFonts w:ascii="Times New Roman" w:eastAsia="Calibri" w:hAnsi="Times New Roman" w:cs="Times New Roman"/>
          <w:b/>
          <w:bCs/>
          <w:sz w:val="24"/>
          <w:szCs w:val="24"/>
        </w:rPr>
      </w:pPr>
      <w:r w:rsidRPr="00573554">
        <w:rPr>
          <w:rFonts w:ascii="Times New Roman" w:eastAsia="Calibri" w:hAnsi="Times New Roman" w:cs="Times New Roman"/>
          <w:b/>
          <w:bCs/>
          <w:sz w:val="24"/>
          <w:szCs w:val="24"/>
        </w:rPr>
        <w:t>ABSTRACT</w:t>
      </w:r>
    </w:p>
    <w:p w14:paraId="618F1D02" w14:textId="72627CB5" w:rsidR="0094285A" w:rsidRDefault="0094285A" w:rsidP="00533D0C">
      <w:pPr>
        <w:spacing w:after="0" w:line="240" w:lineRule="auto"/>
        <w:ind w:left="720"/>
        <w:rPr>
          <w:rFonts w:ascii="Times New Roman" w:eastAsia="Calibri" w:hAnsi="Times New Roman" w:cs="Times New Roman"/>
          <w:sz w:val="24"/>
          <w:szCs w:val="24"/>
        </w:rPr>
      </w:pPr>
      <w:r w:rsidRPr="00573554">
        <w:rPr>
          <w:rFonts w:ascii="Times New Roman" w:eastAsia="Calibri" w:hAnsi="Times New Roman" w:cs="Times New Roman"/>
          <w:sz w:val="24"/>
          <w:szCs w:val="24"/>
        </w:rPr>
        <w:t xml:space="preserve">This paper analyzes the effects of gender diversity of boards of directors on firms’ propensities to violate </w:t>
      </w:r>
      <w:r w:rsidR="00573554" w:rsidRPr="00573554">
        <w:rPr>
          <w:rFonts w:ascii="Times New Roman" w:eastAsia="Calibri" w:hAnsi="Times New Roman" w:cs="Times New Roman"/>
          <w:sz w:val="24"/>
          <w:szCs w:val="24"/>
        </w:rPr>
        <w:t>the U.S.</w:t>
      </w:r>
      <w:r w:rsidRPr="00573554">
        <w:rPr>
          <w:rFonts w:ascii="Times New Roman" w:eastAsia="Calibri" w:hAnsi="Times New Roman" w:cs="Times New Roman"/>
          <w:sz w:val="24"/>
          <w:szCs w:val="24"/>
        </w:rPr>
        <w:t xml:space="preserve"> Foreign Corrupt Practices Act.  As diversity of corporate board membership is important because top-level strategic choices are a function psychosocial qualities, characteristics, knowledge, values, and cognitions, the authors make a business case to supplement the equity case for representative board membership through constructing and testing a new conceptual model that examines firms’ leadership demographic characteristics as underlying determinants of entities’ propensities to engage in bribery and corruption, as measured by violations of the FCPA.</w:t>
      </w:r>
    </w:p>
    <w:p w14:paraId="45FFC3DC" w14:textId="77777777" w:rsidR="0070115A" w:rsidRDefault="0070115A" w:rsidP="00533D0C">
      <w:pPr>
        <w:spacing w:after="0" w:line="240" w:lineRule="auto"/>
        <w:ind w:left="720"/>
        <w:rPr>
          <w:rFonts w:ascii="Times New Roman" w:eastAsia="Calibri" w:hAnsi="Times New Roman" w:cs="Times New Roman"/>
          <w:sz w:val="24"/>
          <w:szCs w:val="24"/>
        </w:rPr>
      </w:pPr>
    </w:p>
    <w:p w14:paraId="0F599E78" w14:textId="77777777" w:rsidR="0070115A" w:rsidRPr="00573554" w:rsidRDefault="0070115A" w:rsidP="00533D0C">
      <w:pPr>
        <w:spacing w:after="0" w:line="240" w:lineRule="auto"/>
        <w:ind w:left="720"/>
        <w:rPr>
          <w:rFonts w:ascii="Times New Roman" w:eastAsia="Calibri" w:hAnsi="Times New Roman" w:cs="Times New Roman"/>
          <w:sz w:val="24"/>
          <w:szCs w:val="24"/>
        </w:rPr>
      </w:pPr>
    </w:p>
    <w:p w14:paraId="578FF034" w14:textId="72C2E70D" w:rsidR="00F853D3" w:rsidRPr="00573554" w:rsidRDefault="00F853D3" w:rsidP="00F853D3">
      <w:pPr>
        <w:rPr>
          <w:rFonts w:ascii="Times New Roman" w:hAnsi="Times New Roman" w:cs="Times New Roman"/>
          <w:sz w:val="24"/>
          <w:szCs w:val="24"/>
          <w:u w:val="single"/>
        </w:rPr>
      </w:pPr>
      <w:r w:rsidRPr="00573554">
        <w:rPr>
          <w:rFonts w:ascii="Times New Roman" w:hAnsi="Times New Roman" w:cs="Times New Roman"/>
          <w:sz w:val="24"/>
          <w:szCs w:val="24"/>
        </w:rPr>
        <w:lastRenderedPageBreak/>
        <w:t xml:space="preserve">      </w:t>
      </w:r>
      <w:r w:rsidR="0040302C" w:rsidRPr="00573554">
        <w:rPr>
          <w:rFonts w:ascii="Times New Roman" w:hAnsi="Times New Roman" w:cs="Times New Roman"/>
          <w:sz w:val="24"/>
          <w:szCs w:val="24"/>
          <w:u w:val="single"/>
        </w:rPr>
        <w:t>9:45</w:t>
      </w:r>
      <w:r w:rsidR="00760CAA" w:rsidRPr="00573554">
        <w:rPr>
          <w:rFonts w:ascii="Times New Roman" w:hAnsi="Times New Roman" w:cs="Times New Roman"/>
          <w:sz w:val="24"/>
          <w:szCs w:val="24"/>
          <w:u w:val="single"/>
        </w:rPr>
        <w:t xml:space="preserve"> </w:t>
      </w:r>
      <w:r w:rsidR="00BB7635" w:rsidRPr="00573554">
        <w:rPr>
          <w:rFonts w:ascii="Times New Roman" w:hAnsi="Times New Roman" w:cs="Times New Roman"/>
          <w:sz w:val="24"/>
          <w:szCs w:val="24"/>
          <w:u w:val="single"/>
        </w:rPr>
        <w:t>–</w:t>
      </w:r>
      <w:r w:rsidR="00760CAA" w:rsidRPr="00573554">
        <w:rPr>
          <w:rFonts w:ascii="Times New Roman" w:hAnsi="Times New Roman" w:cs="Times New Roman"/>
          <w:sz w:val="24"/>
          <w:szCs w:val="24"/>
          <w:u w:val="single"/>
        </w:rPr>
        <w:t xml:space="preserve"> </w:t>
      </w:r>
      <w:r w:rsidR="009D1853" w:rsidRPr="00573554">
        <w:rPr>
          <w:rFonts w:ascii="Times New Roman" w:hAnsi="Times New Roman" w:cs="Times New Roman"/>
          <w:sz w:val="24"/>
          <w:szCs w:val="24"/>
          <w:u w:val="single"/>
        </w:rPr>
        <w:t>10</w:t>
      </w:r>
      <w:r w:rsidR="00BB7635" w:rsidRPr="00573554">
        <w:rPr>
          <w:rFonts w:ascii="Times New Roman" w:hAnsi="Times New Roman" w:cs="Times New Roman"/>
          <w:sz w:val="24"/>
          <w:szCs w:val="24"/>
          <w:u w:val="single"/>
        </w:rPr>
        <w:t>:</w:t>
      </w:r>
      <w:r w:rsidR="00880D04" w:rsidRPr="00573554">
        <w:rPr>
          <w:rFonts w:ascii="Times New Roman" w:hAnsi="Times New Roman" w:cs="Times New Roman"/>
          <w:sz w:val="24"/>
          <w:szCs w:val="24"/>
          <w:u w:val="single"/>
        </w:rPr>
        <w:t>15</w:t>
      </w:r>
      <w:r w:rsidR="008637A6" w:rsidRPr="00573554">
        <w:rPr>
          <w:rFonts w:ascii="Times New Roman" w:hAnsi="Times New Roman" w:cs="Times New Roman"/>
          <w:sz w:val="24"/>
          <w:szCs w:val="24"/>
          <w:u w:val="single"/>
        </w:rPr>
        <w:t xml:space="preserve"> </w:t>
      </w:r>
      <w:r w:rsidR="008637A6" w:rsidRPr="00573554">
        <w:rPr>
          <w:rFonts w:ascii="Times New Roman" w:eastAsia="Times New Roman" w:hAnsi="Times New Roman" w:cs="Times New Roman"/>
          <w:color w:val="000000"/>
          <w:sz w:val="24"/>
          <w:szCs w:val="24"/>
          <w:u w:val="single"/>
        </w:rPr>
        <w:t>Joseph J. Schwerha IV,</w:t>
      </w:r>
      <w:r w:rsidR="00875B6A" w:rsidRPr="00573554">
        <w:rPr>
          <w:rFonts w:ascii="Times New Roman" w:eastAsia="Times New Roman" w:hAnsi="Times New Roman" w:cs="Times New Roman"/>
          <w:color w:val="000000"/>
          <w:sz w:val="24"/>
          <w:szCs w:val="24"/>
          <w:u w:val="single"/>
        </w:rPr>
        <w:t xml:space="preserve"> PennWest University – California Campus</w:t>
      </w:r>
      <w:r w:rsidR="008637A6" w:rsidRPr="00573554">
        <w:rPr>
          <w:rFonts w:ascii="Times New Roman" w:eastAsia="Times New Roman" w:hAnsi="Times New Roman" w:cs="Times New Roman"/>
          <w:color w:val="000000"/>
          <w:sz w:val="24"/>
          <w:szCs w:val="24"/>
          <w:u w:val="single"/>
        </w:rPr>
        <w:t xml:space="preserve"> </w:t>
      </w:r>
    </w:p>
    <w:p w14:paraId="600C3801" w14:textId="3DE7EDBF" w:rsidR="00F853D3" w:rsidRPr="00573554" w:rsidRDefault="00F853D3" w:rsidP="00875B6A">
      <w:pPr>
        <w:ind w:left="720"/>
        <w:rPr>
          <w:rFonts w:ascii="Times New Roman" w:eastAsia="Times New Roman" w:hAnsi="Times New Roman" w:cs="Times New Roman"/>
          <w:b/>
          <w:bCs/>
          <w:color w:val="000000"/>
          <w:sz w:val="24"/>
          <w:szCs w:val="24"/>
        </w:rPr>
      </w:pPr>
      <w:r w:rsidRPr="00573554">
        <w:rPr>
          <w:rFonts w:ascii="Times New Roman" w:eastAsia="Times New Roman" w:hAnsi="Times New Roman" w:cs="Times New Roman"/>
          <w:b/>
          <w:bCs/>
          <w:color w:val="000000"/>
          <w:sz w:val="24"/>
          <w:szCs w:val="24"/>
        </w:rPr>
        <w:t>From Cybercrime to Generative AI: Preparing Students for Legal and Ethical Challenges in the Next Era</w:t>
      </w:r>
    </w:p>
    <w:p w14:paraId="4CC97067" w14:textId="77777777" w:rsidR="00875B6A" w:rsidRPr="00573554" w:rsidRDefault="00F853D3" w:rsidP="00875B6A">
      <w:pPr>
        <w:spacing w:after="0" w:line="240" w:lineRule="auto"/>
        <w:ind w:firstLine="720"/>
        <w:jc w:val="center"/>
        <w:rPr>
          <w:rFonts w:ascii="Times New Roman" w:eastAsia="Times New Roman" w:hAnsi="Times New Roman" w:cs="Times New Roman"/>
          <w:b/>
          <w:bCs/>
          <w:color w:val="000000"/>
          <w:sz w:val="24"/>
          <w:szCs w:val="24"/>
        </w:rPr>
      </w:pPr>
      <w:r w:rsidRPr="00573554">
        <w:rPr>
          <w:rFonts w:ascii="Times New Roman" w:eastAsia="Times New Roman" w:hAnsi="Times New Roman" w:cs="Times New Roman"/>
          <w:b/>
          <w:bCs/>
          <w:color w:val="000000"/>
          <w:sz w:val="24"/>
          <w:szCs w:val="24"/>
        </w:rPr>
        <w:t>A</w:t>
      </w:r>
      <w:r w:rsidR="00875B6A" w:rsidRPr="00573554">
        <w:rPr>
          <w:rFonts w:ascii="Times New Roman" w:eastAsia="Times New Roman" w:hAnsi="Times New Roman" w:cs="Times New Roman"/>
          <w:b/>
          <w:bCs/>
          <w:color w:val="000000"/>
          <w:sz w:val="24"/>
          <w:szCs w:val="24"/>
        </w:rPr>
        <w:t>BSTRACT</w:t>
      </w:r>
    </w:p>
    <w:p w14:paraId="4FCD5C3F" w14:textId="6780A1BB" w:rsidR="00F853D3" w:rsidRPr="00573554" w:rsidRDefault="00F853D3" w:rsidP="00875B6A">
      <w:pPr>
        <w:spacing w:after="0" w:line="240" w:lineRule="auto"/>
        <w:ind w:left="720"/>
        <w:rPr>
          <w:rFonts w:ascii="Times New Roman" w:eastAsia="Times New Roman" w:hAnsi="Times New Roman" w:cs="Times New Roman"/>
          <w:color w:val="000000"/>
          <w:sz w:val="24"/>
          <w:szCs w:val="24"/>
        </w:rPr>
      </w:pPr>
      <w:r w:rsidRPr="00573554">
        <w:rPr>
          <w:rFonts w:ascii="Times New Roman" w:eastAsia="Times New Roman" w:hAnsi="Times New Roman" w:cs="Times New Roman"/>
          <w:color w:val="000000"/>
          <w:sz w:val="24"/>
          <w:szCs w:val="24"/>
        </w:rPr>
        <w:t>Over the past two decades, technology has reshaped legal practice and business education alike. From early work on cybercrime and electronic discovery to today’s rapid adoption of generative AI, educators face the challenge of preparing students for evolving legal and ethical landscapes. This session examines how a progressive sequence of curricular innovations—from courses on cyberlaw and e-discovery to AI policy and ethics—can be leveraged to equip students with critical analytical skills and professional readiness. Drawing on my experience as Professor of Business Law &amp; Technology and Lead of the Law &amp; Policy Community of Practice at the PennWest Center on Artificial Intelligence and Emerging Technologies, I will demonstrate how inclusive pedagogy and high-impact practices ensure that all students, regardless of background, can engage with these complex issues. Participants will gain a longitudinal perspective on curriculum design that fosters resilience, adaptability, and ethical awareness in the face of technological disruption.</w:t>
      </w:r>
    </w:p>
    <w:p w14:paraId="6591B1D5" w14:textId="77777777" w:rsidR="00880D04" w:rsidRPr="00573554" w:rsidRDefault="00880D04" w:rsidP="00C32BD8">
      <w:pPr>
        <w:ind w:left="720"/>
        <w:rPr>
          <w:rFonts w:ascii="Times New Roman" w:hAnsi="Times New Roman" w:cs="Times New Roman"/>
          <w:sz w:val="24"/>
          <w:szCs w:val="24"/>
        </w:rPr>
      </w:pPr>
    </w:p>
    <w:p w14:paraId="78D6175B" w14:textId="6B213D68" w:rsidR="00880D04" w:rsidRPr="00573554" w:rsidRDefault="00880D04" w:rsidP="00880D04">
      <w:pPr>
        <w:spacing w:after="0" w:line="240" w:lineRule="auto"/>
        <w:rPr>
          <w:rFonts w:ascii="Times New Roman" w:eastAsia="Calibri" w:hAnsi="Times New Roman" w:cs="Times New Roman"/>
          <w:b/>
          <w:bCs/>
          <w:iCs/>
          <w:color w:val="EE0000"/>
          <w:sz w:val="24"/>
          <w:szCs w:val="24"/>
        </w:rPr>
      </w:pPr>
      <w:r w:rsidRPr="00573554">
        <w:rPr>
          <w:rFonts w:ascii="Times New Roman" w:eastAsia="Calibri" w:hAnsi="Times New Roman" w:cs="Times New Roman"/>
          <w:b/>
          <w:bCs/>
          <w:iCs/>
          <w:color w:val="EE0000"/>
          <w:sz w:val="24"/>
          <w:szCs w:val="24"/>
        </w:rPr>
        <w:t>10:15 – 10:</w:t>
      </w:r>
      <w:r w:rsidR="005019B6" w:rsidRPr="00573554">
        <w:rPr>
          <w:rFonts w:ascii="Times New Roman" w:eastAsia="Calibri" w:hAnsi="Times New Roman" w:cs="Times New Roman"/>
          <w:b/>
          <w:bCs/>
          <w:iCs/>
          <w:color w:val="EE0000"/>
          <w:sz w:val="24"/>
          <w:szCs w:val="24"/>
        </w:rPr>
        <w:t>30</w:t>
      </w:r>
      <w:r w:rsidRPr="00573554">
        <w:rPr>
          <w:rFonts w:ascii="Times New Roman" w:eastAsia="Calibri" w:hAnsi="Times New Roman" w:cs="Times New Roman"/>
          <w:b/>
          <w:bCs/>
          <w:iCs/>
          <w:color w:val="EE0000"/>
          <w:sz w:val="24"/>
          <w:szCs w:val="24"/>
        </w:rPr>
        <w:t xml:space="preserve"> Break</w:t>
      </w:r>
    </w:p>
    <w:p w14:paraId="06BE9921" w14:textId="77777777" w:rsidR="00BB7635" w:rsidRPr="00573554" w:rsidRDefault="00BB7635" w:rsidP="00C32BD8">
      <w:pPr>
        <w:ind w:left="720"/>
        <w:rPr>
          <w:rFonts w:ascii="Times New Roman" w:hAnsi="Times New Roman" w:cs="Times New Roman"/>
          <w:sz w:val="24"/>
          <w:szCs w:val="24"/>
        </w:rPr>
      </w:pPr>
    </w:p>
    <w:p w14:paraId="13572CC9" w14:textId="57C29C54" w:rsidR="00803426" w:rsidRPr="00573554" w:rsidRDefault="00A8412A" w:rsidP="00803426">
      <w:pPr>
        <w:rPr>
          <w:rFonts w:ascii="Times New Roman" w:hAnsi="Times New Roman" w:cs="Times New Roman"/>
          <w:sz w:val="24"/>
          <w:szCs w:val="24"/>
          <w:u w:val="single"/>
        </w:rPr>
      </w:pPr>
      <w:r w:rsidRPr="00573554">
        <w:rPr>
          <w:rFonts w:ascii="Times New Roman" w:hAnsi="Times New Roman" w:cs="Times New Roman"/>
          <w:sz w:val="24"/>
          <w:szCs w:val="24"/>
        </w:rPr>
        <w:t xml:space="preserve">      </w:t>
      </w:r>
      <w:r w:rsidR="009D1853" w:rsidRPr="00573554">
        <w:rPr>
          <w:rFonts w:ascii="Times New Roman" w:hAnsi="Times New Roman" w:cs="Times New Roman"/>
          <w:sz w:val="24"/>
          <w:szCs w:val="24"/>
          <w:u w:val="single"/>
        </w:rPr>
        <w:t>10</w:t>
      </w:r>
      <w:r w:rsidR="00BB7635" w:rsidRPr="00573554">
        <w:rPr>
          <w:rFonts w:ascii="Times New Roman" w:hAnsi="Times New Roman" w:cs="Times New Roman"/>
          <w:sz w:val="24"/>
          <w:szCs w:val="24"/>
          <w:u w:val="single"/>
        </w:rPr>
        <w:t>:</w:t>
      </w:r>
      <w:r w:rsidR="005019B6" w:rsidRPr="00573554">
        <w:rPr>
          <w:rFonts w:ascii="Times New Roman" w:hAnsi="Times New Roman" w:cs="Times New Roman"/>
          <w:sz w:val="24"/>
          <w:szCs w:val="24"/>
          <w:u w:val="single"/>
        </w:rPr>
        <w:t>30</w:t>
      </w:r>
      <w:r w:rsidR="00BB7635" w:rsidRPr="00573554">
        <w:rPr>
          <w:rFonts w:ascii="Times New Roman" w:hAnsi="Times New Roman" w:cs="Times New Roman"/>
          <w:sz w:val="24"/>
          <w:szCs w:val="24"/>
          <w:u w:val="single"/>
        </w:rPr>
        <w:t xml:space="preserve"> – </w:t>
      </w:r>
      <w:r w:rsidR="009D1853" w:rsidRPr="00573554">
        <w:rPr>
          <w:rFonts w:ascii="Times New Roman" w:hAnsi="Times New Roman" w:cs="Times New Roman"/>
          <w:sz w:val="24"/>
          <w:szCs w:val="24"/>
          <w:u w:val="single"/>
        </w:rPr>
        <w:t>1</w:t>
      </w:r>
      <w:r w:rsidR="00880D04" w:rsidRPr="00573554">
        <w:rPr>
          <w:rFonts w:ascii="Times New Roman" w:hAnsi="Times New Roman" w:cs="Times New Roman"/>
          <w:sz w:val="24"/>
          <w:szCs w:val="24"/>
          <w:u w:val="single"/>
        </w:rPr>
        <w:t>1</w:t>
      </w:r>
      <w:r w:rsidR="00BB7635" w:rsidRPr="00573554">
        <w:rPr>
          <w:rFonts w:ascii="Times New Roman" w:hAnsi="Times New Roman" w:cs="Times New Roman"/>
          <w:sz w:val="24"/>
          <w:szCs w:val="24"/>
          <w:u w:val="single"/>
        </w:rPr>
        <w:t>:</w:t>
      </w:r>
      <w:r w:rsidR="005019B6" w:rsidRPr="00573554">
        <w:rPr>
          <w:rFonts w:ascii="Times New Roman" w:hAnsi="Times New Roman" w:cs="Times New Roman"/>
          <w:sz w:val="24"/>
          <w:szCs w:val="24"/>
          <w:u w:val="single"/>
        </w:rPr>
        <w:t>00</w:t>
      </w:r>
      <w:r w:rsidR="00803426" w:rsidRPr="00573554">
        <w:rPr>
          <w:rFonts w:ascii="Times New Roman" w:hAnsi="Times New Roman" w:cs="Times New Roman"/>
          <w:sz w:val="24"/>
          <w:szCs w:val="24"/>
          <w:u w:val="single"/>
        </w:rPr>
        <w:t xml:space="preserve"> Diana R. Lamphiere, Western Michigan University</w:t>
      </w:r>
    </w:p>
    <w:p w14:paraId="75AD30E7" w14:textId="3E6A2A3D" w:rsidR="00802C11" w:rsidRPr="00573554" w:rsidRDefault="00802C11" w:rsidP="00A8412A">
      <w:pPr>
        <w:spacing w:after="0" w:line="240" w:lineRule="auto"/>
        <w:ind w:left="720"/>
        <w:rPr>
          <w:rFonts w:ascii="Times New Roman" w:eastAsia="Calibri" w:hAnsi="Times New Roman" w:cs="Times New Roman"/>
          <w:b/>
          <w:bCs/>
          <w:iCs/>
          <w:sz w:val="24"/>
          <w:szCs w:val="24"/>
        </w:rPr>
      </w:pPr>
      <w:r w:rsidRPr="00573554">
        <w:rPr>
          <w:rFonts w:ascii="Times New Roman" w:eastAsia="Calibri" w:hAnsi="Times New Roman" w:cs="Times New Roman"/>
          <w:b/>
          <w:bCs/>
          <w:iCs/>
          <w:sz w:val="24"/>
          <w:szCs w:val="24"/>
        </w:rPr>
        <w:t>Teaching Business Law in China: Similarities to and Differences from Teaching Business Law in the United States</w:t>
      </w:r>
    </w:p>
    <w:p w14:paraId="385C25EB" w14:textId="77777777" w:rsidR="00A8412A" w:rsidRPr="00573554" w:rsidRDefault="00A8412A" w:rsidP="00A8412A">
      <w:pPr>
        <w:spacing w:after="0" w:line="240" w:lineRule="auto"/>
        <w:ind w:left="720"/>
        <w:rPr>
          <w:rFonts w:ascii="Times New Roman" w:eastAsia="Calibri" w:hAnsi="Times New Roman" w:cs="Times New Roman"/>
          <w:b/>
          <w:bCs/>
          <w:iCs/>
          <w:sz w:val="24"/>
          <w:szCs w:val="24"/>
        </w:rPr>
      </w:pPr>
    </w:p>
    <w:p w14:paraId="103A14A4" w14:textId="32CAED02" w:rsidR="00802C11" w:rsidRPr="00573554" w:rsidRDefault="00802C11" w:rsidP="00A8412A">
      <w:pPr>
        <w:spacing w:after="0" w:line="240" w:lineRule="auto"/>
        <w:jc w:val="center"/>
        <w:rPr>
          <w:rFonts w:ascii="Times New Roman" w:eastAsia="Calibri" w:hAnsi="Times New Roman" w:cs="Times New Roman"/>
          <w:b/>
          <w:bCs/>
          <w:iCs/>
          <w:sz w:val="24"/>
          <w:szCs w:val="24"/>
        </w:rPr>
      </w:pPr>
      <w:r w:rsidRPr="00573554">
        <w:rPr>
          <w:rFonts w:ascii="Times New Roman" w:eastAsia="Calibri" w:hAnsi="Times New Roman" w:cs="Times New Roman"/>
          <w:b/>
          <w:bCs/>
          <w:iCs/>
          <w:sz w:val="24"/>
          <w:szCs w:val="24"/>
        </w:rPr>
        <w:t>ABSTRACT</w:t>
      </w:r>
    </w:p>
    <w:p w14:paraId="1F36A1D6" w14:textId="77777777" w:rsidR="00802C11" w:rsidRPr="00573554" w:rsidRDefault="00802C11" w:rsidP="00A8412A">
      <w:pPr>
        <w:spacing w:after="0" w:line="240" w:lineRule="auto"/>
        <w:ind w:left="720"/>
        <w:rPr>
          <w:rFonts w:ascii="Times New Roman" w:eastAsia="Calibri" w:hAnsi="Times New Roman" w:cs="Times New Roman"/>
          <w:iCs/>
          <w:sz w:val="24"/>
          <w:szCs w:val="24"/>
        </w:rPr>
      </w:pPr>
      <w:r w:rsidRPr="00573554">
        <w:rPr>
          <w:rFonts w:ascii="Times New Roman" w:eastAsia="Calibri" w:hAnsi="Times New Roman" w:cs="Times New Roman"/>
          <w:iCs/>
          <w:sz w:val="24"/>
          <w:szCs w:val="24"/>
        </w:rPr>
        <w:t xml:space="preserve">The global economy becomes more global every day. Even small businesses all over the world must find ways to do business on a global level in terms of supplies, shipping, contracting, and more. As such, business students all over the world need to learn business law in terms of international, global business. Focusing on that need between two specific countries, this paper examines the similarities and differences between teaching business law to business students in the United States and China. While some approaches to teaching business law in each country are similar, there are also key differences. Since law intersects with disciplines like political science, human rights, and similar topics that can be controversial, teaching business law in China requires some self-censoring and nuance that a U.S. law class does not. This paper dives into these nuances in terms of the topics taught, classroom culture, and the Chinese and U.S. cultures at large. </w:t>
      </w:r>
    </w:p>
    <w:p w14:paraId="3FB2806A" w14:textId="77777777" w:rsidR="00D27927" w:rsidRPr="00573554" w:rsidRDefault="00D27927" w:rsidP="00A8412A">
      <w:pPr>
        <w:spacing w:after="0" w:line="240" w:lineRule="auto"/>
        <w:ind w:left="720"/>
        <w:rPr>
          <w:rFonts w:ascii="Times New Roman" w:eastAsia="Calibri" w:hAnsi="Times New Roman" w:cs="Times New Roman"/>
          <w:iCs/>
          <w:sz w:val="24"/>
          <w:szCs w:val="24"/>
        </w:rPr>
      </w:pPr>
    </w:p>
    <w:p w14:paraId="06DBAD27" w14:textId="0DEB4272" w:rsidR="00F529E8" w:rsidRPr="00573554" w:rsidRDefault="00802C11" w:rsidP="00A8412A">
      <w:pPr>
        <w:spacing w:after="0" w:line="240" w:lineRule="auto"/>
        <w:ind w:left="720"/>
        <w:rPr>
          <w:rFonts w:ascii="Times New Roman" w:eastAsia="Calibri" w:hAnsi="Times New Roman" w:cs="Times New Roman"/>
          <w:iCs/>
          <w:sz w:val="24"/>
          <w:szCs w:val="24"/>
        </w:rPr>
      </w:pPr>
      <w:r w:rsidRPr="00573554">
        <w:rPr>
          <w:rFonts w:ascii="Times New Roman" w:eastAsia="Calibri" w:hAnsi="Times New Roman" w:cs="Times New Roman"/>
          <w:iCs/>
          <w:sz w:val="24"/>
          <w:szCs w:val="24"/>
        </w:rPr>
        <w:t>The author has taught Business Law and related topics in the U.S. since 2010 (at Western Michigan University, Grand Valley State University, and Davenport University), and has taught students in English in a Chinese university (Guizhou University of Finance and Economics) as part of the Western Michigan Institute in both online and in seat formats in 2023, 2024, and 2025.</w:t>
      </w:r>
    </w:p>
    <w:p w14:paraId="78BB31F1" w14:textId="0E003512" w:rsidR="00A3375D" w:rsidRPr="00573554" w:rsidRDefault="002B0080" w:rsidP="00614715">
      <w:pPr>
        <w:ind w:left="360"/>
        <w:rPr>
          <w:rFonts w:ascii="Times New Roman" w:hAnsi="Times New Roman" w:cs="Times New Roman"/>
          <w:sz w:val="24"/>
          <w:szCs w:val="24"/>
          <w:u w:val="single"/>
        </w:rPr>
      </w:pPr>
      <w:r w:rsidRPr="00573554">
        <w:rPr>
          <w:rFonts w:ascii="Times New Roman" w:hAnsi="Times New Roman" w:cs="Times New Roman"/>
          <w:sz w:val="24"/>
          <w:szCs w:val="24"/>
          <w:u w:val="single"/>
        </w:rPr>
        <w:lastRenderedPageBreak/>
        <w:t>1</w:t>
      </w:r>
      <w:r w:rsidR="00880D04" w:rsidRPr="00573554">
        <w:rPr>
          <w:rFonts w:ascii="Times New Roman" w:hAnsi="Times New Roman" w:cs="Times New Roman"/>
          <w:sz w:val="24"/>
          <w:szCs w:val="24"/>
          <w:u w:val="single"/>
        </w:rPr>
        <w:t>1</w:t>
      </w:r>
      <w:r w:rsidR="00C76F64" w:rsidRPr="00573554">
        <w:rPr>
          <w:rFonts w:ascii="Times New Roman" w:hAnsi="Times New Roman" w:cs="Times New Roman"/>
          <w:sz w:val="24"/>
          <w:szCs w:val="24"/>
          <w:u w:val="single"/>
        </w:rPr>
        <w:t>:</w:t>
      </w:r>
      <w:r w:rsidR="005019B6" w:rsidRPr="00573554">
        <w:rPr>
          <w:rFonts w:ascii="Times New Roman" w:hAnsi="Times New Roman" w:cs="Times New Roman"/>
          <w:sz w:val="24"/>
          <w:szCs w:val="24"/>
          <w:u w:val="single"/>
        </w:rPr>
        <w:t>00</w:t>
      </w:r>
      <w:r w:rsidR="00C76F64" w:rsidRPr="00573554">
        <w:rPr>
          <w:rFonts w:ascii="Times New Roman" w:hAnsi="Times New Roman" w:cs="Times New Roman"/>
          <w:sz w:val="24"/>
          <w:szCs w:val="24"/>
          <w:u w:val="single"/>
        </w:rPr>
        <w:t xml:space="preserve"> – </w:t>
      </w:r>
      <w:r w:rsidR="009D15B3" w:rsidRPr="00573554">
        <w:rPr>
          <w:rFonts w:ascii="Times New Roman" w:hAnsi="Times New Roman" w:cs="Times New Roman"/>
          <w:sz w:val="24"/>
          <w:szCs w:val="24"/>
          <w:u w:val="single"/>
        </w:rPr>
        <w:t>1</w:t>
      </w:r>
      <w:r w:rsidR="005019B6" w:rsidRPr="00573554">
        <w:rPr>
          <w:rFonts w:ascii="Times New Roman" w:hAnsi="Times New Roman" w:cs="Times New Roman"/>
          <w:sz w:val="24"/>
          <w:szCs w:val="24"/>
          <w:u w:val="single"/>
        </w:rPr>
        <w:t>1</w:t>
      </w:r>
      <w:r w:rsidR="009D15B3" w:rsidRPr="00573554">
        <w:rPr>
          <w:rFonts w:ascii="Times New Roman" w:hAnsi="Times New Roman" w:cs="Times New Roman"/>
          <w:sz w:val="24"/>
          <w:szCs w:val="24"/>
          <w:u w:val="single"/>
        </w:rPr>
        <w:t>:</w:t>
      </w:r>
      <w:r w:rsidR="005019B6" w:rsidRPr="00573554">
        <w:rPr>
          <w:rFonts w:ascii="Times New Roman" w:hAnsi="Times New Roman" w:cs="Times New Roman"/>
          <w:sz w:val="24"/>
          <w:szCs w:val="24"/>
          <w:u w:val="single"/>
        </w:rPr>
        <w:t>30</w:t>
      </w:r>
      <w:r w:rsidR="00A3375D" w:rsidRPr="00573554">
        <w:rPr>
          <w:rFonts w:ascii="Times New Roman" w:eastAsia="Times New Roman" w:hAnsi="Times New Roman" w:cs="Times New Roman"/>
          <w:sz w:val="24"/>
          <w:szCs w:val="24"/>
          <w:u w:val="single"/>
        </w:rPr>
        <w:t xml:space="preserve"> Catherine </w:t>
      </w:r>
      <w:r w:rsidR="00567D4C" w:rsidRPr="00573554">
        <w:rPr>
          <w:rFonts w:ascii="Times New Roman" w:eastAsia="Times New Roman" w:hAnsi="Times New Roman" w:cs="Times New Roman"/>
          <w:sz w:val="24"/>
          <w:szCs w:val="24"/>
          <w:u w:val="single"/>
        </w:rPr>
        <w:t>G. Jones-Rikkers</w:t>
      </w:r>
      <w:r w:rsidR="0002171B" w:rsidRPr="00573554">
        <w:rPr>
          <w:rFonts w:ascii="Times New Roman" w:eastAsia="Times New Roman" w:hAnsi="Times New Roman" w:cs="Times New Roman"/>
          <w:sz w:val="24"/>
          <w:szCs w:val="24"/>
          <w:u w:val="single"/>
        </w:rPr>
        <w:t xml:space="preserve"> &amp; </w:t>
      </w:r>
      <w:r w:rsidR="00614715" w:rsidRPr="00573554">
        <w:rPr>
          <w:rFonts w:ascii="Times New Roman" w:eastAsia="Times New Roman" w:hAnsi="Times New Roman" w:cs="Times New Roman"/>
          <w:sz w:val="24"/>
          <w:szCs w:val="24"/>
          <w:u w:val="single"/>
        </w:rPr>
        <w:t xml:space="preserve">James P. </w:t>
      </w:r>
      <w:r w:rsidR="00F17D6C" w:rsidRPr="00573554">
        <w:rPr>
          <w:rFonts w:ascii="Times New Roman" w:eastAsia="Times New Roman" w:hAnsi="Times New Roman" w:cs="Times New Roman"/>
          <w:sz w:val="24"/>
          <w:szCs w:val="24"/>
          <w:u w:val="single"/>
        </w:rPr>
        <w:t>Sanford</w:t>
      </w:r>
      <w:r w:rsidR="00567D4C" w:rsidRPr="00573554">
        <w:rPr>
          <w:rFonts w:ascii="Times New Roman" w:eastAsia="Times New Roman" w:hAnsi="Times New Roman" w:cs="Times New Roman"/>
          <w:sz w:val="24"/>
          <w:szCs w:val="24"/>
          <w:u w:val="single"/>
        </w:rPr>
        <w:t xml:space="preserve">, </w:t>
      </w:r>
      <w:r w:rsidR="00A3375D" w:rsidRPr="00573554">
        <w:rPr>
          <w:rFonts w:ascii="Times New Roman" w:eastAsia="Times New Roman" w:hAnsi="Times New Roman" w:cs="Times New Roman"/>
          <w:sz w:val="24"/>
          <w:szCs w:val="24"/>
          <w:u w:val="single"/>
        </w:rPr>
        <w:t>Grand Valley State University</w:t>
      </w:r>
      <w:r w:rsidR="00614715" w:rsidRPr="00573554">
        <w:rPr>
          <w:rFonts w:ascii="Times New Roman" w:eastAsia="Times New Roman" w:hAnsi="Times New Roman" w:cs="Times New Roman"/>
          <w:sz w:val="24"/>
          <w:szCs w:val="24"/>
          <w:u w:val="single"/>
        </w:rPr>
        <w:t>, Presented by Catherines G. Jones-Rikkers</w:t>
      </w:r>
    </w:p>
    <w:p w14:paraId="3AC0147D" w14:textId="610A99CE" w:rsidR="00B84E8C" w:rsidRPr="00B84E8C" w:rsidRDefault="0090131A" w:rsidP="007F4FEB">
      <w:pPr>
        <w:spacing w:after="0" w:line="240" w:lineRule="auto"/>
        <w:ind w:firstLine="360"/>
        <w:rPr>
          <w:rFonts w:ascii="Times New Roman" w:eastAsia="Times New Roman" w:hAnsi="Times New Roman" w:cs="Times New Roman"/>
          <w:b/>
          <w:bCs/>
          <w:color w:val="000000"/>
          <w:sz w:val="24"/>
          <w:szCs w:val="24"/>
        </w:rPr>
      </w:pPr>
      <w:r w:rsidRPr="00573554">
        <w:rPr>
          <w:rFonts w:ascii="Times New Roman" w:eastAsia="Times New Roman" w:hAnsi="Times New Roman" w:cs="Times New Roman"/>
          <w:color w:val="000000"/>
          <w:sz w:val="24"/>
          <w:szCs w:val="24"/>
        </w:rPr>
        <w:t xml:space="preserve">      </w:t>
      </w:r>
      <w:r w:rsidR="00B84E8C" w:rsidRPr="00B84E8C">
        <w:rPr>
          <w:rFonts w:ascii="Times New Roman" w:eastAsia="Times New Roman" w:hAnsi="Times New Roman" w:cs="Times New Roman"/>
          <w:b/>
          <w:bCs/>
          <w:color w:val="000000"/>
          <w:sz w:val="24"/>
          <w:szCs w:val="24"/>
        </w:rPr>
        <w:t>INSTRUCTIONAL MATERIALS POLICIES IN HIGHER EDUCATION</w:t>
      </w:r>
    </w:p>
    <w:p w14:paraId="24B3B5DC" w14:textId="77777777" w:rsidR="00D37C55" w:rsidRPr="00573554" w:rsidRDefault="00D37C55" w:rsidP="00567D4C">
      <w:pPr>
        <w:spacing w:after="0" w:line="240" w:lineRule="auto"/>
        <w:ind w:firstLine="720"/>
        <w:rPr>
          <w:rFonts w:ascii="Times New Roman" w:hAnsi="Times New Roman" w:cs="Times New Roman"/>
          <w:sz w:val="24"/>
          <w:szCs w:val="24"/>
        </w:rPr>
      </w:pPr>
    </w:p>
    <w:p w14:paraId="469837BA" w14:textId="7CB71149" w:rsidR="00D37C55" w:rsidRPr="00573554" w:rsidRDefault="00D37C55" w:rsidP="00D37C55">
      <w:pPr>
        <w:spacing w:after="0" w:line="240" w:lineRule="auto"/>
        <w:jc w:val="center"/>
        <w:rPr>
          <w:rFonts w:ascii="Times New Roman" w:hAnsi="Times New Roman" w:cs="Times New Roman"/>
          <w:b/>
          <w:bCs/>
          <w:sz w:val="24"/>
          <w:szCs w:val="24"/>
        </w:rPr>
      </w:pPr>
      <w:r w:rsidRPr="00573554">
        <w:rPr>
          <w:rFonts w:ascii="Times New Roman" w:hAnsi="Times New Roman" w:cs="Times New Roman"/>
          <w:b/>
          <w:bCs/>
          <w:sz w:val="24"/>
          <w:szCs w:val="24"/>
        </w:rPr>
        <w:t>ABSTRACT</w:t>
      </w:r>
    </w:p>
    <w:p w14:paraId="58F0DECB" w14:textId="77777777" w:rsidR="0090131A" w:rsidRPr="0090131A" w:rsidRDefault="0090131A" w:rsidP="00573554">
      <w:pPr>
        <w:spacing w:after="0" w:line="240" w:lineRule="auto"/>
        <w:ind w:left="720"/>
        <w:jc w:val="both"/>
        <w:rPr>
          <w:rFonts w:ascii="Times New Roman" w:eastAsia="Times New Roman" w:hAnsi="Times New Roman" w:cs="Times New Roman"/>
          <w:b/>
          <w:sz w:val="24"/>
          <w:szCs w:val="24"/>
        </w:rPr>
      </w:pPr>
      <w:r w:rsidRPr="0090131A">
        <w:rPr>
          <w:rFonts w:ascii="Times New Roman" w:eastAsia="Times New Roman" w:hAnsi="Times New Roman" w:cs="Times New Roman"/>
          <w:sz w:val="24"/>
          <w:szCs w:val="24"/>
        </w:rPr>
        <w:t>The modern educator now must “manage” a myriad of learning arrangements that basically did not exist just a few short years ago.  The use of “generative” artificial intelligence, virtual classrooms, and other online educational options have added to the more traditional classroom and educational arrangements of the past.  Now, as these virtual learning practices become the “new normal,” questions related to the ownership of online materials created by educators have emerged.  This article explores existing “Instructional Materials” policies and concludes with suggested updates to existing policies to make them more reflective of today’s educational environment.</w:t>
      </w:r>
    </w:p>
    <w:p w14:paraId="7B5D5555" w14:textId="77777777" w:rsidR="0090131A" w:rsidRPr="00573554" w:rsidRDefault="0090131A" w:rsidP="00D37C55">
      <w:pPr>
        <w:spacing w:after="0" w:line="240" w:lineRule="auto"/>
        <w:jc w:val="center"/>
        <w:rPr>
          <w:rFonts w:ascii="Times New Roman" w:hAnsi="Times New Roman" w:cs="Times New Roman"/>
          <w:b/>
          <w:bCs/>
          <w:sz w:val="24"/>
          <w:szCs w:val="24"/>
        </w:rPr>
      </w:pPr>
    </w:p>
    <w:p w14:paraId="5BDACD8C" w14:textId="6C04C685" w:rsidR="00D37C55" w:rsidRPr="00573554" w:rsidRDefault="00D37C55" w:rsidP="00D37C55">
      <w:pPr>
        <w:spacing w:after="0" w:line="240" w:lineRule="auto"/>
        <w:rPr>
          <w:rFonts w:ascii="Times New Roman" w:eastAsia="Times New Roman" w:hAnsi="Times New Roman" w:cs="Times New Roman"/>
          <w:sz w:val="24"/>
          <w:szCs w:val="24"/>
        </w:rPr>
      </w:pPr>
    </w:p>
    <w:p w14:paraId="4B439DFC" w14:textId="24007825" w:rsidR="004E465D" w:rsidRPr="00573554" w:rsidRDefault="00E64F98" w:rsidP="000C3E9C">
      <w:pPr>
        <w:spacing w:before="100" w:beforeAutospacing="1" w:after="100" w:afterAutospacing="1" w:line="336" w:lineRule="atLeast"/>
        <w:ind w:firstLine="360"/>
        <w:rPr>
          <w:rFonts w:ascii="Times New Roman" w:eastAsia="Times New Roman" w:hAnsi="Times New Roman" w:cs="Times New Roman"/>
          <w:sz w:val="24"/>
          <w:szCs w:val="24"/>
          <w:u w:val="single"/>
        </w:rPr>
      </w:pPr>
      <w:r w:rsidRPr="00573554">
        <w:rPr>
          <w:rFonts w:ascii="Times New Roman" w:hAnsi="Times New Roman" w:cs="Times New Roman"/>
          <w:sz w:val="24"/>
          <w:szCs w:val="24"/>
          <w:u w:val="single"/>
        </w:rPr>
        <w:t>11:30 – 12:00</w:t>
      </w:r>
      <w:r w:rsidR="007826B5" w:rsidRPr="00573554">
        <w:rPr>
          <w:rFonts w:ascii="Times New Roman" w:hAnsi="Times New Roman" w:cs="Times New Roman"/>
          <w:sz w:val="24"/>
          <w:szCs w:val="24"/>
          <w:u w:val="single"/>
        </w:rPr>
        <w:t xml:space="preserve"> </w:t>
      </w:r>
      <w:r w:rsidR="004E465D" w:rsidRPr="00573554">
        <w:rPr>
          <w:rFonts w:ascii="Times New Roman" w:eastAsia="Times New Roman" w:hAnsi="Times New Roman" w:cs="Times New Roman"/>
          <w:sz w:val="24"/>
          <w:szCs w:val="24"/>
          <w:u w:val="single"/>
        </w:rPr>
        <w:t>Lara L. Kessler</w:t>
      </w:r>
      <w:r w:rsidR="000C3E9C" w:rsidRPr="00573554">
        <w:rPr>
          <w:rFonts w:ascii="Times New Roman" w:eastAsia="Times New Roman" w:hAnsi="Times New Roman" w:cs="Times New Roman"/>
          <w:sz w:val="24"/>
          <w:szCs w:val="24"/>
          <w:u w:val="single"/>
        </w:rPr>
        <w:t xml:space="preserve"> &amp;</w:t>
      </w:r>
      <w:r w:rsidR="007826B5" w:rsidRPr="00573554">
        <w:rPr>
          <w:rFonts w:ascii="Times New Roman" w:eastAsia="Times New Roman" w:hAnsi="Times New Roman" w:cs="Times New Roman"/>
          <w:sz w:val="24"/>
          <w:szCs w:val="24"/>
          <w:u w:val="single"/>
        </w:rPr>
        <w:t xml:space="preserve"> Dori Danko</w:t>
      </w:r>
      <w:r w:rsidR="000C3E9C" w:rsidRPr="00573554">
        <w:rPr>
          <w:rFonts w:ascii="Times New Roman" w:eastAsia="Times New Roman" w:hAnsi="Times New Roman" w:cs="Times New Roman"/>
          <w:sz w:val="24"/>
          <w:szCs w:val="24"/>
          <w:u w:val="single"/>
        </w:rPr>
        <w:t>,</w:t>
      </w:r>
      <w:r w:rsidR="004E465D" w:rsidRPr="00573554">
        <w:rPr>
          <w:rFonts w:ascii="Times New Roman" w:eastAsia="Times New Roman" w:hAnsi="Times New Roman" w:cs="Times New Roman"/>
          <w:sz w:val="24"/>
          <w:szCs w:val="24"/>
          <w:u w:val="single"/>
        </w:rPr>
        <w:t xml:space="preserve"> Grand Valley State University</w:t>
      </w:r>
    </w:p>
    <w:p w14:paraId="597C44AC" w14:textId="3EAAD5A0" w:rsidR="004E465D" w:rsidRPr="00573554" w:rsidRDefault="004E465D" w:rsidP="000C3E9C">
      <w:pPr>
        <w:spacing w:before="100" w:beforeAutospacing="1" w:after="100" w:afterAutospacing="1" w:line="240" w:lineRule="auto"/>
        <w:ind w:left="720"/>
        <w:rPr>
          <w:rFonts w:ascii="Times New Roman" w:eastAsia="Times New Roman" w:hAnsi="Times New Roman" w:cs="Times New Roman"/>
          <w:b/>
          <w:bCs/>
          <w:sz w:val="24"/>
          <w:szCs w:val="24"/>
        </w:rPr>
      </w:pPr>
      <w:r w:rsidRPr="00573554">
        <w:rPr>
          <w:rFonts w:ascii="Times New Roman" w:eastAsia="Times New Roman" w:hAnsi="Times New Roman" w:cs="Times New Roman"/>
          <w:b/>
          <w:bCs/>
          <w:sz w:val="24"/>
          <w:szCs w:val="24"/>
        </w:rPr>
        <w:t>Evaluating a Consistent Teamwork Model in Accounting Courses: Student Experiences and Learning Outcomes</w:t>
      </w:r>
    </w:p>
    <w:p w14:paraId="2A109E64" w14:textId="25836951" w:rsidR="000C3E9C" w:rsidRPr="00573554" w:rsidRDefault="000C3E9C" w:rsidP="000C3E9C">
      <w:pPr>
        <w:spacing w:after="0" w:line="240" w:lineRule="auto"/>
        <w:jc w:val="center"/>
        <w:rPr>
          <w:rFonts w:ascii="Times New Roman" w:hAnsi="Times New Roman" w:cs="Times New Roman"/>
          <w:b/>
          <w:bCs/>
          <w:sz w:val="24"/>
          <w:szCs w:val="24"/>
        </w:rPr>
      </w:pPr>
      <w:r w:rsidRPr="00573554">
        <w:rPr>
          <w:rFonts w:ascii="Times New Roman" w:hAnsi="Times New Roman" w:cs="Times New Roman"/>
          <w:b/>
          <w:bCs/>
          <w:sz w:val="24"/>
          <w:szCs w:val="24"/>
        </w:rPr>
        <w:t>ABSTRACT</w:t>
      </w:r>
    </w:p>
    <w:p w14:paraId="0F6367CF" w14:textId="77777777" w:rsidR="004E465D" w:rsidRDefault="004E465D" w:rsidP="000C3E9C">
      <w:pPr>
        <w:spacing w:after="0" w:line="240" w:lineRule="auto"/>
        <w:ind w:left="720"/>
        <w:rPr>
          <w:rFonts w:ascii="Times New Roman" w:hAnsi="Times New Roman" w:cs="Times New Roman"/>
          <w:sz w:val="24"/>
          <w:szCs w:val="24"/>
        </w:rPr>
      </w:pPr>
      <w:r w:rsidRPr="00573554">
        <w:rPr>
          <w:rFonts w:ascii="Times New Roman" w:hAnsi="Times New Roman" w:cs="Times New Roman"/>
          <w:sz w:val="24"/>
          <w:szCs w:val="24"/>
        </w:rPr>
        <w:t>Teamwork is a fundamental component of learning in higher education, particularly in accounting, where collaborative problem-solving mirrors professional practice. This study examines students’ perceptions of teamwork across multiple accounting courses that implemented a consistent, structured teamwork model, comparing these perceptions with experiences in prior courses. By considering both expectations prior to enrollment and reflections on previous collaborative experiences, the research evaluates whether this approach is perceived positively and whether it enhances learning outcomes. Insights from this study can inform instructional design and guide the effective integration of teamwork into accounting curricula.</w:t>
      </w:r>
    </w:p>
    <w:p w14:paraId="74F95670" w14:textId="77777777" w:rsidR="00573554" w:rsidRPr="00573554" w:rsidRDefault="00573554" w:rsidP="000C3E9C">
      <w:pPr>
        <w:spacing w:after="0" w:line="240" w:lineRule="auto"/>
        <w:ind w:left="720"/>
        <w:rPr>
          <w:rFonts w:ascii="Times New Roman" w:hAnsi="Times New Roman" w:cs="Times New Roman"/>
          <w:sz w:val="24"/>
          <w:szCs w:val="24"/>
        </w:rPr>
      </w:pPr>
    </w:p>
    <w:p w14:paraId="18F68727" w14:textId="73922432" w:rsidR="00E66295" w:rsidRPr="00573554" w:rsidRDefault="00E66295" w:rsidP="00D32381">
      <w:pPr>
        <w:ind w:left="720"/>
        <w:rPr>
          <w:rFonts w:ascii="Times New Roman" w:hAnsi="Times New Roman" w:cs="Times New Roman"/>
          <w:sz w:val="24"/>
          <w:szCs w:val="24"/>
        </w:rPr>
      </w:pPr>
    </w:p>
    <w:p w14:paraId="5D65E6CE" w14:textId="4C3D22E7" w:rsidR="00E66295" w:rsidRPr="00573554" w:rsidRDefault="00E66295" w:rsidP="00E66295">
      <w:pPr>
        <w:spacing w:after="0" w:line="240" w:lineRule="auto"/>
        <w:rPr>
          <w:rFonts w:ascii="Times New Roman" w:eastAsia="Calibri" w:hAnsi="Times New Roman" w:cs="Times New Roman"/>
          <w:b/>
          <w:bCs/>
          <w:iCs/>
          <w:color w:val="FF0000"/>
          <w:sz w:val="24"/>
          <w:szCs w:val="24"/>
        </w:rPr>
      </w:pPr>
      <w:r w:rsidRPr="00573554">
        <w:rPr>
          <w:rFonts w:ascii="Times New Roman" w:eastAsia="Calibri" w:hAnsi="Times New Roman" w:cs="Times New Roman"/>
          <w:b/>
          <w:bCs/>
          <w:iCs/>
          <w:color w:val="FF0000"/>
          <w:sz w:val="24"/>
          <w:szCs w:val="24"/>
        </w:rPr>
        <w:t>12:</w:t>
      </w:r>
      <w:r w:rsidR="00E64F98" w:rsidRPr="00573554">
        <w:rPr>
          <w:rFonts w:ascii="Times New Roman" w:eastAsia="Calibri" w:hAnsi="Times New Roman" w:cs="Times New Roman"/>
          <w:b/>
          <w:bCs/>
          <w:iCs/>
          <w:color w:val="FF0000"/>
          <w:sz w:val="24"/>
          <w:szCs w:val="24"/>
        </w:rPr>
        <w:t>00</w:t>
      </w:r>
      <w:r w:rsidR="00A00951">
        <w:rPr>
          <w:rFonts w:ascii="Times New Roman" w:eastAsia="Calibri" w:hAnsi="Times New Roman" w:cs="Times New Roman"/>
          <w:b/>
          <w:bCs/>
          <w:iCs/>
          <w:color w:val="FF0000"/>
          <w:sz w:val="24"/>
          <w:szCs w:val="24"/>
        </w:rPr>
        <w:t xml:space="preserve"> – </w:t>
      </w:r>
      <w:r w:rsidRPr="00573554">
        <w:rPr>
          <w:rFonts w:ascii="Times New Roman" w:eastAsia="Calibri" w:hAnsi="Times New Roman" w:cs="Times New Roman"/>
          <w:b/>
          <w:bCs/>
          <w:iCs/>
          <w:color w:val="FF0000"/>
          <w:sz w:val="24"/>
          <w:szCs w:val="24"/>
        </w:rPr>
        <w:t>1:</w:t>
      </w:r>
      <w:r w:rsidR="00235E46" w:rsidRPr="00573554">
        <w:rPr>
          <w:rFonts w:ascii="Times New Roman" w:eastAsia="Calibri" w:hAnsi="Times New Roman" w:cs="Times New Roman"/>
          <w:b/>
          <w:bCs/>
          <w:iCs/>
          <w:color w:val="FF0000"/>
          <w:sz w:val="24"/>
          <w:szCs w:val="24"/>
        </w:rPr>
        <w:t>00</w:t>
      </w:r>
      <w:r w:rsidRPr="00573554">
        <w:rPr>
          <w:rFonts w:ascii="Times New Roman" w:eastAsia="Calibri" w:hAnsi="Times New Roman" w:cs="Times New Roman"/>
          <w:b/>
          <w:bCs/>
          <w:iCs/>
          <w:color w:val="FF0000"/>
          <w:sz w:val="24"/>
          <w:szCs w:val="24"/>
        </w:rPr>
        <w:t xml:space="preserve"> Lunch</w:t>
      </w:r>
    </w:p>
    <w:p w14:paraId="0DFEFE89" w14:textId="77777777" w:rsidR="009D15B3" w:rsidRPr="00573554" w:rsidRDefault="009D15B3" w:rsidP="00C301F8">
      <w:pPr>
        <w:ind w:left="720"/>
        <w:rPr>
          <w:rFonts w:ascii="Times New Roman" w:hAnsi="Times New Roman" w:cs="Times New Roman"/>
          <w:sz w:val="24"/>
          <w:szCs w:val="24"/>
        </w:rPr>
      </w:pPr>
    </w:p>
    <w:p w14:paraId="26AB0762" w14:textId="77777777" w:rsidR="008F1ECB" w:rsidRPr="00573554" w:rsidRDefault="008F1ECB" w:rsidP="00C301F8">
      <w:pPr>
        <w:ind w:left="720"/>
        <w:rPr>
          <w:rFonts w:ascii="Times New Roman" w:hAnsi="Times New Roman" w:cs="Times New Roman"/>
          <w:sz w:val="24"/>
          <w:szCs w:val="24"/>
        </w:rPr>
      </w:pPr>
    </w:p>
    <w:p w14:paraId="60308F87" w14:textId="77777777" w:rsidR="008F1ECB" w:rsidRPr="00573554" w:rsidRDefault="008F1ECB" w:rsidP="00C301F8">
      <w:pPr>
        <w:ind w:left="720"/>
        <w:rPr>
          <w:rFonts w:ascii="Times New Roman" w:hAnsi="Times New Roman" w:cs="Times New Roman"/>
          <w:sz w:val="24"/>
          <w:szCs w:val="24"/>
        </w:rPr>
      </w:pPr>
    </w:p>
    <w:p w14:paraId="3ED18E6A" w14:textId="77777777" w:rsidR="00061559" w:rsidRPr="00573554" w:rsidRDefault="00061559" w:rsidP="00C301F8">
      <w:pPr>
        <w:ind w:left="720"/>
        <w:rPr>
          <w:rFonts w:ascii="Times New Roman" w:hAnsi="Times New Roman" w:cs="Times New Roman"/>
          <w:sz w:val="24"/>
          <w:szCs w:val="24"/>
        </w:rPr>
      </w:pPr>
    </w:p>
    <w:p w14:paraId="730036B0" w14:textId="77777777" w:rsidR="008F1ECB" w:rsidRPr="00573554" w:rsidRDefault="008F1ECB" w:rsidP="00C301F8">
      <w:pPr>
        <w:ind w:left="720"/>
        <w:rPr>
          <w:rFonts w:ascii="Times New Roman" w:hAnsi="Times New Roman" w:cs="Times New Roman"/>
          <w:sz w:val="24"/>
          <w:szCs w:val="24"/>
        </w:rPr>
      </w:pPr>
    </w:p>
    <w:p w14:paraId="0DC25B97" w14:textId="77777777" w:rsidR="008F1ECB" w:rsidRPr="00573554" w:rsidRDefault="008F1ECB" w:rsidP="00C301F8">
      <w:pPr>
        <w:ind w:left="720"/>
        <w:rPr>
          <w:rFonts w:ascii="Times New Roman" w:hAnsi="Times New Roman" w:cs="Times New Roman"/>
          <w:sz w:val="24"/>
          <w:szCs w:val="24"/>
        </w:rPr>
      </w:pPr>
    </w:p>
    <w:p w14:paraId="153B467A" w14:textId="5876210C" w:rsidR="00E03860" w:rsidRPr="00573554" w:rsidRDefault="00762BE4" w:rsidP="008F1ECB">
      <w:pPr>
        <w:spacing w:before="100" w:beforeAutospacing="1" w:after="100" w:afterAutospacing="1" w:line="240" w:lineRule="auto"/>
        <w:ind w:firstLine="720"/>
        <w:rPr>
          <w:rFonts w:ascii="Times New Roman" w:eastAsia="Times New Roman" w:hAnsi="Times New Roman" w:cs="Times New Roman"/>
          <w:sz w:val="24"/>
          <w:szCs w:val="24"/>
          <w:u w:val="single"/>
        </w:rPr>
      </w:pPr>
      <w:r w:rsidRPr="00573554">
        <w:rPr>
          <w:rFonts w:ascii="Times New Roman" w:hAnsi="Times New Roman" w:cs="Times New Roman"/>
          <w:sz w:val="24"/>
          <w:szCs w:val="24"/>
          <w:u w:val="single"/>
        </w:rPr>
        <w:lastRenderedPageBreak/>
        <w:t>1:</w:t>
      </w:r>
      <w:r w:rsidR="00235E46" w:rsidRPr="00573554">
        <w:rPr>
          <w:rFonts w:ascii="Times New Roman" w:hAnsi="Times New Roman" w:cs="Times New Roman"/>
          <w:sz w:val="24"/>
          <w:szCs w:val="24"/>
          <w:u w:val="single"/>
        </w:rPr>
        <w:t>0</w:t>
      </w:r>
      <w:r w:rsidR="00AF235A" w:rsidRPr="00573554">
        <w:rPr>
          <w:rFonts w:ascii="Times New Roman" w:hAnsi="Times New Roman" w:cs="Times New Roman"/>
          <w:sz w:val="24"/>
          <w:szCs w:val="24"/>
          <w:u w:val="single"/>
        </w:rPr>
        <w:t>0</w:t>
      </w:r>
      <w:r w:rsidRPr="00573554">
        <w:rPr>
          <w:rFonts w:ascii="Times New Roman" w:hAnsi="Times New Roman" w:cs="Times New Roman"/>
          <w:sz w:val="24"/>
          <w:szCs w:val="24"/>
          <w:u w:val="single"/>
        </w:rPr>
        <w:t xml:space="preserve"> – 1</w:t>
      </w:r>
      <w:r w:rsidR="00235E46" w:rsidRPr="00573554">
        <w:rPr>
          <w:rFonts w:ascii="Times New Roman" w:hAnsi="Times New Roman" w:cs="Times New Roman"/>
          <w:sz w:val="24"/>
          <w:szCs w:val="24"/>
          <w:u w:val="single"/>
        </w:rPr>
        <w:t>:30</w:t>
      </w:r>
      <w:r w:rsidRPr="00573554">
        <w:rPr>
          <w:rFonts w:ascii="Times New Roman" w:hAnsi="Times New Roman" w:cs="Times New Roman"/>
          <w:sz w:val="24"/>
          <w:szCs w:val="24"/>
          <w:u w:val="single"/>
        </w:rPr>
        <w:t xml:space="preserve"> </w:t>
      </w:r>
      <w:r w:rsidR="00E03860" w:rsidRPr="00573554">
        <w:rPr>
          <w:rFonts w:ascii="Times New Roman" w:hAnsi="Times New Roman" w:cs="Times New Roman"/>
          <w:sz w:val="24"/>
          <w:szCs w:val="24"/>
          <w:u w:val="single"/>
        </w:rPr>
        <w:t xml:space="preserve">Lara </w:t>
      </w:r>
      <w:r w:rsidR="00E03860" w:rsidRPr="00573554">
        <w:rPr>
          <w:rFonts w:ascii="Times New Roman" w:eastAsia="Times New Roman" w:hAnsi="Times New Roman" w:cs="Times New Roman"/>
          <w:sz w:val="24"/>
          <w:szCs w:val="24"/>
          <w:u w:val="single"/>
        </w:rPr>
        <w:t>L. Kessler &amp; Jonathan W. Brignall</w:t>
      </w:r>
      <w:r w:rsidR="00B0244F" w:rsidRPr="00573554">
        <w:rPr>
          <w:rFonts w:ascii="Times New Roman" w:eastAsia="Times New Roman" w:hAnsi="Times New Roman" w:cs="Times New Roman"/>
          <w:sz w:val="24"/>
          <w:szCs w:val="24"/>
          <w:u w:val="single"/>
        </w:rPr>
        <w:t xml:space="preserve">, </w:t>
      </w:r>
      <w:r w:rsidR="00E03860" w:rsidRPr="00573554">
        <w:rPr>
          <w:rFonts w:ascii="Times New Roman" w:eastAsia="Times New Roman" w:hAnsi="Times New Roman" w:cs="Times New Roman"/>
          <w:sz w:val="24"/>
          <w:szCs w:val="24"/>
          <w:u w:val="single"/>
        </w:rPr>
        <w:t>Grand Valley State University</w:t>
      </w:r>
    </w:p>
    <w:p w14:paraId="35206E42" w14:textId="67D2A2ED" w:rsidR="00E03860" w:rsidRPr="00573554" w:rsidRDefault="00E03860" w:rsidP="00B0244F">
      <w:pPr>
        <w:spacing w:before="100" w:beforeAutospacing="1" w:after="100" w:afterAutospacing="1" w:line="240" w:lineRule="auto"/>
        <w:ind w:left="1080"/>
        <w:rPr>
          <w:rFonts w:ascii="Times New Roman" w:eastAsia="Times New Roman" w:hAnsi="Times New Roman" w:cs="Times New Roman"/>
          <w:b/>
          <w:bCs/>
          <w:sz w:val="24"/>
          <w:szCs w:val="24"/>
        </w:rPr>
      </w:pPr>
      <w:r w:rsidRPr="00573554">
        <w:rPr>
          <w:rFonts w:ascii="Times New Roman" w:eastAsia="Times New Roman" w:hAnsi="Times New Roman" w:cs="Times New Roman"/>
          <w:b/>
          <w:bCs/>
          <w:noProof/>
          <w:sz w:val="24"/>
          <w:szCs w:val="24"/>
        </w:rPr>
        <w:t>Strengthening the Earned Income Tax Credit: Addressing Weaknesses and Protecting a Vital Anti-Poverty Tool</w:t>
      </w:r>
    </w:p>
    <w:p w14:paraId="3BFC6819" w14:textId="43EEDFF8" w:rsidR="00B0244F" w:rsidRPr="00573554" w:rsidRDefault="00B0244F" w:rsidP="00B0244F">
      <w:pPr>
        <w:spacing w:after="0" w:line="240" w:lineRule="auto"/>
        <w:jc w:val="center"/>
        <w:rPr>
          <w:rFonts w:ascii="Times New Roman" w:hAnsi="Times New Roman" w:cs="Times New Roman"/>
          <w:b/>
          <w:bCs/>
          <w:sz w:val="24"/>
          <w:szCs w:val="24"/>
        </w:rPr>
      </w:pPr>
      <w:r w:rsidRPr="00573554">
        <w:rPr>
          <w:rFonts w:ascii="Times New Roman" w:hAnsi="Times New Roman" w:cs="Times New Roman"/>
          <w:b/>
          <w:bCs/>
          <w:sz w:val="24"/>
          <w:szCs w:val="24"/>
        </w:rPr>
        <w:t>ABSTRACT</w:t>
      </w:r>
    </w:p>
    <w:p w14:paraId="3832BBE9" w14:textId="7E7FE49C" w:rsidR="00E03860" w:rsidRPr="00573554" w:rsidRDefault="00E03860" w:rsidP="008F1ECB">
      <w:pPr>
        <w:spacing w:after="0" w:line="240" w:lineRule="auto"/>
        <w:ind w:left="1080"/>
        <w:rPr>
          <w:rFonts w:ascii="Times New Roman" w:hAnsi="Times New Roman" w:cs="Times New Roman"/>
          <w:sz w:val="24"/>
          <w:szCs w:val="24"/>
        </w:rPr>
      </w:pPr>
      <w:r w:rsidRPr="00573554">
        <w:rPr>
          <w:rFonts w:ascii="Times New Roman" w:hAnsi="Times New Roman" w:cs="Times New Roman"/>
          <w:sz w:val="24"/>
          <w:szCs w:val="24"/>
        </w:rPr>
        <w:t>The Earned Income Tax Credit (EITC) is the largest Federal anti-poverty program. It provides benefits through a refundable credit claimed on the recipient’s tax return. Although the EITC provides significant poverty relief, the program is not without its flaws. This article begins with a brief overview of the EITC and then examines several weaknesses of the EITC and suggests ways it could be improved. Recommendations include: 1) creating a system for spreading out the payments so that taxpayers who have little financial knowledge do not spend all of the credit immediately when received; 2) improving the credit for taxpayers without children; and 3) simplifying the calculation to make the credit easier to claim and administer, and less susceptible to fraud. Finally, this article discusses the impact of the “One Big Beautiful Bill Act of 2025” on the EITC and recommends that Congress prioritize this essential program in future tax legislation and exempt it from any possible cuts.</w:t>
      </w:r>
    </w:p>
    <w:p w14:paraId="22353F74" w14:textId="0D5F9CA2" w:rsidR="00762BE4" w:rsidRPr="00573554" w:rsidRDefault="00762BE4" w:rsidP="00AE4C8E">
      <w:pPr>
        <w:ind w:left="720"/>
        <w:rPr>
          <w:rFonts w:ascii="Times New Roman" w:hAnsi="Times New Roman" w:cs="Times New Roman"/>
          <w:sz w:val="24"/>
          <w:szCs w:val="24"/>
          <w:u w:val="single"/>
        </w:rPr>
      </w:pPr>
    </w:p>
    <w:p w14:paraId="13F21796" w14:textId="1F93C12C" w:rsidR="0029150B" w:rsidRPr="00573554" w:rsidRDefault="00D32381" w:rsidP="0029150B">
      <w:pPr>
        <w:spacing w:before="100" w:beforeAutospacing="1" w:after="100" w:afterAutospacing="1" w:line="336" w:lineRule="atLeast"/>
        <w:ind w:firstLine="720"/>
        <w:rPr>
          <w:rFonts w:ascii="Times New Roman" w:eastAsia="Times New Roman" w:hAnsi="Times New Roman" w:cs="Times New Roman"/>
          <w:sz w:val="24"/>
          <w:szCs w:val="24"/>
          <w:u w:val="single"/>
        </w:rPr>
      </w:pPr>
      <w:r w:rsidRPr="00573554">
        <w:rPr>
          <w:rFonts w:ascii="Times New Roman" w:hAnsi="Times New Roman" w:cs="Times New Roman"/>
          <w:sz w:val="24"/>
          <w:szCs w:val="24"/>
          <w:u w:val="single"/>
        </w:rPr>
        <w:t>1:</w:t>
      </w:r>
      <w:r w:rsidR="00235E46" w:rsidRPr="00573554">
        <w:rPr>
          <w:rFonts w:ascii="Times New Roman" w:hAnsi="Times New Roman" w:cs="Times New Roman"/>
          <w:sz w:val="24"/>
          <w:szCs w:val="24"/>
          <w:u w:val="single"/>
        </w:rPr>
        <w:t>30</w:t>
      </w:r>
      <w:r w:rsidRPr="00573554">
        <w:rPr>
          <w:rFonts w:ascii="Times New Roman" w:hAnsi="Times New Roman" w:cs="Times New Roman"/>
          <w:sz w:val="24"/>
          <w:szCs w:val="24"/>
          <w:u w:val="single"/>
        </w:rPr>
        <w:t xml:space="preserve"> – </w:t>
      </w:r>
      <w:r w:rsidR="00235E46" w:rsidRPr="00573554">
        <w:rPr>
          <w:rFonts w:ascii="Times New Roman" w:hAnsi="Times New Roman" w:cs="Times New Roman"/>
          <w:sz w:val="24"/>
          <w:szCs w:val="24"/>
          <w:u w:val="single"/>
        </w:rPr>
        <w:t>2:00</w:t>
      </w:r>
      <w:r w:rsidR="003F0F40" w:rsidRPr="00573554">
        <w:rPr>
          <w:rFonts w:ascii="Times New Roman" w:eastAsia="Times New Roman" w:hAnsi="Times New Roman" w:cs="Times New Roman"/>
          <w:sz w:val="24"/>
          <w:szCs w:val="24"/>
          <w:u w:val="single"/>
        </w:rPr>
        <w:t xml:space="preserve"> </w:t>
      </w:r>
      <w:r w:rsidR="0029150B" w:rsidRPr="00573554">
        <w:rPr>
          <w:rFonts w:ascii="Times New Roman" w:eastAsia="Times New Roman" w:hAnsi="Times New Roman" w:cs="Times New Roman"/>
          <w:sz w:val="24"/>
          <w:szCs w:val="24"/>
          <w:u w:val="single"/>
        </w:rPr>
        <w:t>Audrey Kucia</w:t>
      </w:r>
      <w:r w:rsidR="0037789F" w:rsidRPr="00573554">
        <w:rPr>
          <w:rFonts w:ascii="Times New Roman" w:eastAsia="Times New Roman" w:hAnsi="Times New Roman" w:cs="Times New Roman"/>
          <w:sz w:val="24"/>
          <w:szCs w:val="24"/>
          <w:u w:val="single"/>
        </w:rPr>
        <w:t xml:space="preserve"> &amp; Student Marina Fahmy</w:t>
      </w:r>
      <w:r w:rsidR="0029150B" w:rsidRPr="00573554">
        <w:rPr>
          <w:rFonts w:ascii="Times New Roman" w:eastAsia="Times New Roman" w:hAnsi="Times New Roman" w:cs="Times New Roman"/>
          <w:sz w:val="24"/>
          <w:szCs w:val="24"/>
          <w:u w:val="single"/>
        </w:rPr>
        <w:t>, Northeastern Illinois University</w:t>
      </w:r>
    </w:p>
    <w:p w14:paraId="5F4EA717" w14:textId="3662C44F" w:rsidR="003F0F40" w:rsidRPr="00573554" w:rsidRDefault="003F0F40" w:rsidP="0020363A">
      <w:pPr>
        <w:spacing w:before="100" w:beforeAutospacing="1" w:after="100" w:afterAutospacing="1" w:line="336" w:lineRule="atLeast"/>
        <w:ind w:left="1080"/>
        <w:rPr>
          <w:rFonts w:ascii="Times New Roman" w:eastAsia="Times New Roman" w:hAnsi="Times New Roman" w:cs="Times New Roman"/>
          <w:b/>
          <w:bCs/>
          <w:sz w:val="24"/>
          <w:szCs w:val="24"/>
        </w:rPr>
      </w:pPr>
      <w:r w:rsidRPr="00573554">
        <w:rPr>
          <w:rFonts w:ascii="Times New Roman" w:eastAsia="Times New Roman" w:hAnsi="Times New Roman" w:cs="Times New Roman"/>
          <w:b/>
          <w:bCs/>
          <w:sz w:val="24"/>
          <w:szCs w:val="24"/>
        </w:rPr>
        <w:t xml:space="preserve">Implications of U.S. Public Companies’ Shareholder Proposals Demanding Employment and Pay Equity Reports </w:t>
      </w:r>
    </w:p>
    <w:p w14:paraId="19CE1468" w14:textId="63ED6267" w:rsidR="0029150B" w:rsidRPr="00573554" w:rsidRDefault="0029150B" w:rsidP="0029150B">
      <w:pPr>
        <w:spacing w:after="0" w:line="240" w:lineRule="auto"/>
        <w:jc w:val="center"/>
        <w:rPr>
          <w:rFonts w:ascii="Times New Roman" w:hAnsi="Times New Roman" w:cs="Times New Roman"/>
          <w:b/>
          <w:bCs/>
          <w:sz w:val="24"/>
          <w:szCs w:val="24"/>
        </w:rPr>
      </w:pPr>
      <w:r w:rsidRPr="00573554">
        <w:rPr>
          <w:rFonts w:ascii="Times New Roman" w:hAnsi="Times New Roman" w:cs="Times New Roman"/>
          <w:b/>
          <w:bCs/>
          <w:sz w:val="24"/>
          <w:szCs w:val="24"/>
        </w:rPr>
        <w:t>ABSTRACT</w:t>
      </w:r>
    </w:p>
    <w:p w14:paraId="676D0ECB" w14:textId="6D41FF13" w:rsidR="003F0F40" w:rsidRPr="00573554" w:rsidRDefault="003F0F40" w:rsidP="0084535E">
      <w:pPr>
        <w:spacing w:after="0" w:line="240" w:lineRule="auto"/>
        <w:ind w:left="1080"/>
        <w:rPr>
          <w:rFonts w:ascii="Times New Roman" w:eastAsia="Times New Roman" w:hAnsi="Times New Roman" w:cs="Times New Roman"/>
          <w:sz w:val="24"/>
          <w:szCs w:val="24"/>
        </w:rPr>
      </w:pPr>
      <w:r w:rsidRPr="00573554">
        <w:rPr>
          <w:rFonts w:ascii="Times New Roman" w:hAnsi="Times New Roman" w:cs="Times New Roman"/>
          <w:sz w:val="24"/>
          <w:szCs w:val="24"/>
        </w:rPr>
        <w:t xml:space="preserve">Shareholder proposals in proxy statements of the U.S. Fortune 100 reflect public </w:t>
      </w:r>
      <w:r w:rsidR="0084535E" w:rsidRPr="00573554">
        <w:rPr>
          <w:rFonts w:ascii="Times New Roman" w:hAnsi="Times New Roman" w:cs="Times New Roman"/>
          <w:sz w:val="24"/>
          <w:szCs w:val="24"/>
        </w:rPr>
        <w:t xml:space="preserve"> </w:t>
      </w:r>
      <w:r w:rsidRPr="00573554">
        <w:rPr>
          <w:rFonts w:ascii="Times New Roman" w:hAnsi="Times New Roman" w:cs="Times New Roman"/>
          <w:sz w:val="24"/>
          <w:szCs w:val="24"/>
        </w:rPr>
        <w:t>company owners’ interest in employment and pay equity for women-identified</w:t>
      </w:r>
      <w:r w:rsidRPr="00573554">
        <w:rPr>
          <w:rFonts w:ascii="Times New Roman" w:eastAsia="Times New Roman" w:hAnsi="Times New Roman" w:cs="Times New Roman"/>
          <w:sz w:val="24"/>
          <w:szCs w:val="24"/>
        </w:rPr>
        <w:t xml:space="preserve"> and non-white people in the U.S. public companies in which shareholders invest. An examination of shareholder proposals in 2015-2025 is cross-referenced with publicly available data for employment (hiring, promotion, discipline, termination) and pay disparity between white men and all other groups in U.S. public companies and reports generated by these companies. U.S. employment law is usually framed as an opposition between labor and management without mention of the owners of the companies, shareholder activism demanding accountability in the experience of labor merits greater research and discussion of the potential power of owner investors to sooner enact meaningful change for employment and pay equity where the pace of change in enforcement and the courts has moved glacially.     </w:t>
      </w:r>
    </w:p>
    <w:p w14:paraId="294C4309" w14:textId="5DDD8219" w:rsidR="00D32381" w:rsidRPr="00573554" w:rsidRDefault="00D32381" w:rsidP="00762BE4">
      <w:pPr>
        <w:ind w:left="720"/>
        <w:rPr>
          <w:rFonts w:ascii="Times New Roman" w:hAnsi="Times New Roman" w:cs="Times New Roman"/>
          <w:sz w:val="24"/>
          <w:szCs w:val="24"/>
          <w:u w:val="single"/>
        </w:rPr>
      </w:pPr>
    </w:p>
    <w:p w14:paraId="6814649E" w14:textId="77777777" w:rsidR="00D32381" w:rsidRPr="00573554" w:rsidRDefault="00D32381" w:rsidP="00762BE4">
      <w:pPr>
        <w:ind w:left="720"/>
        <w:rPr>
          <w:rFonts w:ascii="Times New Roman" w:hAnsi="Times New Roman" w:cs="Times New Roman"/>
          <w:sz w:val="24"/>
          <w:szCs w:val="24"/>
          <w:u w:val="single"/>
        </w:rPr>
      </w:pPr>
    </w:p>
    <w:p w14:paraId="6C93C66E" w14:textId="77777777" w:rsidR="0047120A" w:rsidRPr="00573554" w:rsidRDefault="0047120A" w:rsidP="00762BE4">
      <w:pPr>
        <w:ind w:left="720"/>
        <w:rPr>
          <w:rFonts w:ascii="Times New Roman" w:hAnsi="Times New Roman" w:cs="Times New Roman"/>
          <w:sz w:val="24"/>
          <w:szCs w:val="24"/>
          <w:u w:val="single"/>
        </w:rPr>
      </w:pPr>
    </w:p>
    <w:p w14:paraId="64E1E78E" w14:textId="77777777" w:rsidR="0047120A" w:rsidRPr="00573554" w:rsidRDefault="0047120A" w:rsidP="00762BE4">
      <w:pPr>
        <w:ind w:left="720"/>
        <w:rPr>
          <w:rFonts w:ascii="Times New Roman" w:hAnsi="Times New Roman" w:cs="Times New Roman"/>
          <w:sz w:val="24"/>
          <w:szCs w:val="24"/>
          <w:u w:val="single"/>
        </w:rPr>
      </w:pPr>
    </w:p>
    <w:p w14:paraId="193C60E2" w14:textId="39C00E82" w:rsidR="0047120A" w:rsidRPr="00573554" w:rsidRDefault="00235E46" w:rsidP="0047120A">
      <w:pPr>
        <w:spacing w:before="100" w:beforeAutospacing="1" w:after="100" w:afterAutospacing="1" w:line="336" w:lineRule="atLeast"/>
        <w:ind w:firstLine="720"/>
        <w:rPr>
          <w:rFonts w:ascii="Times New Roman" w:eastAsia="Times New Roman" w:hAnsi="Times New Roman" w:cs="Times New Roman"/>
          <w:sz w:val="24"/>
          <w:szCs w:val="24"/>
          <w:u w:val="single"/>
        </w:rPr>
      </w:pPr>
      <w:r w:rsidRPr="00573554">
        <w:rPr>
          <w:rFonts w:ascii="Times New Roman" w:hAnsi="Times New Roman" w:cs="Times New Roman"/>
          <w:sz w:val="24"/>
          <w:szCs w:val="24"/>
          <w:u w:val="single"/>
        </w:rPr>
        <w:lastRenderedPageBreak/>
        <w:t>2</w:t>
      </w:r>
      <w:r w:rsidR="00D32381" w:rsidRPr="00573554">
        <w:rPr>
          <w:rFonts w:ascii="Times New Roman" w:hAnsi="Times New Roman" w:cs="Times New Roman"/>
          <w:sz w:val="24"/>
          <w:szCs w:val="24"/>
          <w:u w:val="single"/>
        </w:rPr>
        <w:t>:</w:t>
      </w:r>
      <w:r w:rsidRPr="00573554">
        <w:rPr>
          <w:rFonts w:ascii="Times New Roman" w:hAnsi="Times New Roman" w:cs="Times New Roman"/>
          <w:sz w:val="24"/>
          <w:szCs w:val="24"/>
          <w:u w:val="single"/>
        </w:rPr>
        <w:t>0</w:t>
      </w:r>
      <w:r w:rsidR="00D32381" w:rsidRPr="00573554">
        <w:rPr>
          <w:rFonts w:ascii="Times New Roman" w:hAnsi="Times New Roman" w:cs="Times New Roman"/>
          <w:sz w:val="24"/>
          <w:szCs w:val="24"/>
          <w:u w:val="single"/>
        </w:rPr>
        <w:t xml:space="preserve">0 </w:t>
      </w:r>
      <w:r w:rsidR="001E186A" w:rsidRPr="00573554">
        <w:rPr>
          <w:rFonts w:ascii="Times New Roman" w:hAnsi="Times New Roman" w:cs="Times New Roman"/>
          <w:sz w:val="24"/>
          <w:szCs w:val="24"/>
          <w:u w:val="single"/>
        </w:rPr>
        <w:t>–</w:t>
      </w:r>
      <w:r w:rsidR="00D32381" w:rsidRPr="00573554">
        <w:rPr>
          <w:rFonts w:ascii="Times New Roman" w:hAnsi="Times New Roman" w:cs="Times New Roman"/>
          <w:sz w:val="24"/>
          <w:szCs w:val="24"/>
          <w:u w:val="single"/>
        </w:rPr>
        <w:t xml:space="preserve"> </w:t>
      </w:r>
      <w:r w:rsidRPr="00573554">
        <w:rPr>
          <w:rFonts w:ascii="Times New Roman" w:hAnsi="Times New Roman" w:cs="Times New Roman"/>
          <w:sz w:val="24"/>
          <w:szCs w:val="24"/>
          <w:u w:val="single"/>
        </w:rPr>
        <w:t>2:30</w:t>
      </w:r>
      <w:r w:rsidR="00A509E0" w:rsidRPr="00573554">
        <w:rPr>
          <w:rFonts w:ascii="Times New Roman" w:eastAsia="Times New Roman" w:hAnsi="Times New Roman" w:cs="Times New Roman"/>
          <w:sz w:val="24"/>
          <w:szCs w:val="24"/>
          <w:u w:val="single"/>
        </w:rPr>
        <w:t xml:space="preserve"> </w:t>
      </w:r>
      <w:r w:rsidR="0047120A" w:rsidRPr="00573554">
        <w:rPr>
          <w:rFonts w:ascii="Times New Roman" w:eastAsia="Times New Roman" w:hAnsi="Times New Roman" w:cs="Times New Roman"/>
          <w:sz w:val="24"/>
          <w:szCs w:val="24"/>
          <w:u w:val="single"/>
        </w:rPr>
        <w:t>Audrey Kucia</w:t>
      </w:r>
      <w:r w:rsidR="00212865" w:rsidRPr="00573554">
        <w:rPr>
          <w:rFonts w:ascii="Times New Roman" w:eastAsia="Times New Roman" w:hAnsi="Times New Roman" w:cs="Times New Roman"/>
          <w:sz w:val="24"/>
          <w:szCs w:val="24"/>
          <w:u w:val="single"/>
        </w:rPr>
        <w:t xml:space="preserve"> &amp; Student Hadley </w:t>
      </w:r>
      <w:r w:rsidR="007E67E5" w:rsidRPr="00573554">
        <w:rPr>
          <w:rFonts w:ascii="Times New Roman" w:eastAsia="Times New Roman" w:hAnsi="Times New Roman" w:cs="Times New Roman"/>
          <w:sz w:val="24"/>
          <w:szCs w:val="24"/>
          <w:u w:val="single"/>
        </w:rPr>
        <w:t>Beard</w:t>
      </w:r>
      <w:r w:rsidR="0047120A" w:rsidRPr="00573554">
        <w:rPr>
          <w:rFonts w:ascii="Times New Roman" w:eastAsia="Times New Roman" w:hAnsi="Times New Roman" w:cs="Times New Roman"/>
          <w:sz w:val="24"/>
          <w:szCs w:val="24"/>
          <w:u w:val="single"/>
        </w:rPr>
        <w:t>, Northeastern Illinois University</w:t>
      </w:r>
    </w:p>
    <w:p w14:paraId="4B21BA10" w14:textId="3C5D6A4F" w:rsidR="00A509E0" w:rsidRPr="00573554" w:rsidRDefault="00A509E0" w:rsidP="0047120A">
      <w:pPr>
        <w:spacing w:before="100" w:beforeAutospacing="1" w:after="100" w:afterAutospacing="1" w:line="336" w:lineRule="atLeast"/>
        <w:ind w:left="720" w:firstLine="720"/>
        <w:rPr>
          <w:rFonts w:ascii="Times New Roman" w:eastAsia="Times New Roman" w:hAnsi="Times New Roman" w:cs="Times New Roman"/>
          <w:b/>
          <w:bCs/>
          <w:sz w:val="24"/>
          <w:szCs w:val="24"/>
        </w:rPr>
      </w:pPr>
      <w:r w:rsidRPr="00573554">
        <w:rPr>
          <w:rFonts w:ascii="Times New Roman" w:eastAsia="Times New Roman" w:hAnsi="Times New Roman" w:cs="Times New Roman"/>
          <w:b/>
          <w:bCs/>
          <w:sz w:val="24"/>
          <w:szCs w:val="24"/>
        </w:rPr>
        <w:t xml:space="preserve">Review of Cybersecurity Disclosures by Fortune 100 U.S. Public Companies </w:t>
      </w:r>
    </w:p>
    <w:p w14:paraId="10CADEB0" w14:textId="381E41BB" w:rsidR="0047120A" w:rsidRPr="00573554" w:rsidRDefault="0047120A" w:rsidP="0047120A">
      <w:pPr>
        <w:spacing w:after="0" w:line="240" w:lineRule="auto"/>
        <w:jc w:val="center"/>
        <w:rPr>
          <w:rFonts w:ascii="Times New Roman" w:hAnsi="Times New Roman" w:cs="Times New Roman"/>
          <w:b/>
          <w:bCs/>
          <w:sz w:val="24"/>
          <w:szCs w:val="24"/>
        </w:rPr>
      </w:pPr>
      <w:r w:rsidRPr="00573554">
        <w:rPr>
          <w:rFonts w:ascii="Times New Roman" w:hAnsi="Times New Roman" w:cs="Times New Roman"/>
          <w:b/>
          <w:bCs/>
          <w:sz w:val="24"/>
          <w:szCs w:val="24"/>
        </w:rPr>
        <w:t>ABSTRACT</w:t>
      </w:r>
    </w:p>
    <w:p w14:paraId="67EBE26F" w14:textId="77777777" w:rsidR="00A509E0" w:rsidRPr="00573554" w:rsidRDefault="00A509E0" w:rsidP="00A55D14">
      <w:pPr>
        <w:spacing w:after="0" w:line="240" w:lineRule="auto"/>
        <w:ind w:left="1440"/>
        <w:rPr>
          <w:rFonts w:ascii="Times New Roman" w:eastAsia="Times New Roman" w:hAnsi="Times New Roman" w:cs="Times New Roman"/>
          <w:sz w:val="24"/>
          <w:szCs w:val="24"/>
        </w:rPr>
      </w:pPr>
      <w:r w:rsidRPr="00573554">
        <w:rPr>
          <w:rFonts w:ascii="Times New Roman" w:hAnsi="Times New Roman" w:cs="Times New Roman"/>
          <w:sz w:val="24"/>
          <w:szCs w:val="24"/>
        </w:rPr>
        <w:t>Following the July 2023 enactment of the United States Securities Exchange Commission’s final rule requiring companies to report material cybersecurity incidents and provide periodic information on their cybersecurity risk</w:t>
      </w:r>
      <w:r w:rsidRPr="00573554">
        <w:rPr>
          <w:rFonts w:ascii="Times New Roman" w:eastAsia="Times New Roman" w:hAnsi="Times New Roman" w:cs="Times New Roman"/>
          <w:sz w:val="24"/>
          <w:szCs w:val="24"/>
        </w:rPr>
        <w:t xml:space="preserve"> management, strategy and governance, this paper reviews the cybersecurity disclosures in the public filings of the U.S. Fortune 100 for trends, including the level of detail of disclosures, reporting of material impact, disclosure of non-material incidents, and nexus with threats fueled by artificial intelligence, supply chain risks, geopolitical tensions, and threats from insiders.    </w:t>
      </w:r>
    </w:p>
    <w:p w14:paraId="4AEFC322" w14:textId="5F5AA85F" w:rsidR="00D32381" w:rsidRPr="00573554" w:rsidRDefault="00D32381" w:rsidP="00762BE4">
      <w:pPr>
        <w:ind w:left="720"/>
        <w:rPr>
          <w:rFonts w:ascii="Times New Roman" w:hAnsi="Times New Roman" w:cs="Times New Roman"/>
          <w:sz w:val="24"/>
          <w:szCs w:val="24"/>
          <w:u w:val="single"/>
        </w:rPr>
      </w:pPr>
    </w:p>
    <w:p w14:paraId="17FB4444" w14:textId="3D18673A" w:rsidR="001E186A" w:rsidRPr="00573554" w:rsidRDefault="001E186A" w:rsidP="00762BE4">
      <w:pPr>
        <w:ind w:left="720"/>
        <w:rPr>
          <w:rFonts w:ascii="Times New Roman" w:hAnsi="Times New Roman" w:cs="Times New Roman"/>
          <w:sz w:val="24"/>
          <w:szCs w:val="24"/>
          <w:u w:val="single"/>
        </w:rPr>
      </w:pPr>
    </w:p>
    <w:p w14:paraId="42815FE4" w14:textId="77777777" w:rsidR="0047120A" w:rsidRPr="00573554" w:rsidRDefault="002B2F18" w:rsidP="0047120A">
      <w:pPr>
        <w:spacing w:before="100" w:beforeAutospacing="1" w:after="100" w:afterAutospacing="1" w:line="336" w:lineRule="atLeast"/>
        <w:ind w:firstLine="720"/>
        <w:rPr>
          <w:rFonts w:ascii="Times New Roman" w:eastAsia="Times New Roman" w:hAnsi="Times New Roman" w:cs="Times New Roman"/>
          <w:sz w:val="24"/>
          <w:szCs w:val="24"/>
          <w:u w:val="single"/>
        </w:rPr>
      </w:pPr>
      <w:r w:rsidRPr="00573554">
        <w:rPr>
          <w:rFonts w:ascii="Times New Roman" w:hAnsi="Times New Roman" w:cs="Times New Roman"/>
          <w:sz w:val="24"/>
          <w:szCs w:val="24"/>
          <w:u w:val="single"/>
        </w:rPr>
        <w:t>2</w:t>
      </w:r>
      <w:r w:rsidR="00C76F64" w:rsidRPr="00573554">
        <w:rPr>
          <w:rFonts w:ascii="Times New Roman" w:hAnsi="Times New Roman" w:cs="Times New Roman"/>
          <w:sz w:val="24"/>
          <w:szCs w:val="24"/>
          <w:u w:val="single"/>
        </w:rPr>
        <w:t>:</w:t>
      </w:r>
      <w:r w:rsidR="00F60F6E" w:rsidRPr="00573554">
        <w:rPr>
          <w:rFonts w:ascii="Times New Roman" w:hAnsi="Times New Roman" w:cs="Times New Roman"/>
          <w:sz w:val="24"/>
          <w:szCs w:val="24"/>
          <w:u w:val="single"/>
        </w:rPr>
        <w:t>30</w:t>
      </w:r>
      <w:r w:rsidR="00C76F64" w:rsidRPr="00573554">
        <w:rPr>
          <w:rFonts w:ascii="Times New Roman" w:hAnsi="Times New Roman" w:cs="Times New Roman"/>
          <w:sz w:val="24"/>
          <w:szCs w:val="24"/>
          <w:u w:val="single"/>
        </w:rPr>
        <w:t xml:space="preserve"> – </w:t>
      </w:r>
      <w:r w:rsidR="00E43F80" w:rsidRPr="00573554">
        <w:rPr>
          <w:rFonts w:ascii="Times New Roman" w:hAnsi="Times New Roman" w:cs="Times New Roman"/>
          <w:sz w:val="24"/>
          <w:szCs w:val="24"/>
          <w:u w:val="single"/>
        </w:rPr>
        <w:t>3</w:t>
      </w:r>
      <w:r w:rsidR="00C76F64" w:rsidRPr="00573554">
        <w:rPr>
          <w:rFonts w:ascii="Times New Roman" w:hAnsi="Times New Roman" w:cs="Times New Roman"/>
          <w:sz w:val="24"/>
          <w:szCs w:val="24"/>
          <w:u w:val="single"/>
        </w:rPr>
        <w:t>:</w:t>
      </w:r>
      <w:r w:rsidR="00E43F80" w:rsidRPr="00573554">
        <w:rPr>
          <w:rFonts w:ascii="Times New Roman" w:hAnsi="Times New Roman" w:cs="Times New Roman"/>
          <w:sz w:val="24"/>
          <w:szCs w:val="24"/>
          <w:u w:val="single"/>
        </w:rPr>
        <w:t>00</w:t>
      </w:r>
      <w:r w:rsidR="00C76F64" w:rsidRPr="00573554">
        <w:rPr>
          <w:rFonts w:ascii="Times New Roman" w:hAnsi="Times New Roman" w:cs="Times New Roman"/>
          <w:sz w:val="24"/>
          <w:szCs w:val="24"/>
          <w:u w:val="single"/>
        </w:rPr>
        <w:t xml:space="preserve"> </w:t>
      </w:r>
      <w:r w:rsidR="0047120A" w:rsidRPr="00573554">
        <w:rPr>
          <w:rFonts w:ascii="Times New Roman" w:eastAsia="Times New Roman" w:hAnsi="Times New Roman" w:cs="Times New Roman"/>
          <w:sz w:val="24"/>
          <w:szCs w:val="24"/>
          <w:u w:val="single"/>
        </w:rPr>
        <w:t>Audrey Kucia, Northeastern Illinois University</w:t>
      </w:r>
    </w:p>
    <w:p w14:paraId="3D4B1472" w14:textId="5DAFF32F" w:rsidR="00FB2C62" w:rsidRPr="00573554" w:rsidRDefault="00FB2C62" w:rsidP="00A55D14">
      <w:pPr>
        <w:spacing w:before="100" w:beforeAutospacing="1" w:after="100" w:afterAutospacing="1" w:line="336" w:lineRule="atLeast"/>
        <w:ind w:left="1440"/>
        <w:rPr>
          <w:rFonts w:ascii="Times New Roman" w:eastAsia="Times New Roman" w:hAnsi="Times New Roman" w:cs="Times New Roman"/>
          <w:b/>
          <w:bCs/>
          <w:sz w:val="24"/>
          <w:szCs w:val="24"/>
        </w:rPr>
      </w:pPr>
      <w:r w:rsidRPr="00573554">
        <w:rPr>
          <w:rFonts w:ascii="Times New Roman" w:eastAsia="Times New Roman" w:hAnsi="Times New Roman" w:cs="Times New Roman"/>
          <w:b/>
          <w:bCs/>
          <w:sz w:val="24"/>
          <w:szCs w:val="24"/>
        </w:rPr>
        <w:t>Resistance is Futile: Artificial Intelligence and Robotic Applications for White-Collar Management</w:t>
      </w:r>
    </w:p>
    <w:p w14:paraId="4C14CA96" w14:textId="77777777" w:rsidR="0047120A" w:rsidRPr="00573554" w:rsidRDefault="0047120A" w:rsidP="0047120A">
      <w:pPr>
        <w:spacing w:after="0" w:line="240" w:lineRule="auto"/>
        <w:jc w:val="center"/>
        <w:rPr>
          <w:rFonts w:ascii="Times New Roman" w:hAnsi="Times New Roman" w:cs="Times New Roman"/>
          <w:b/>
          <w:bCs/>
          <w:sz w:val="24"/>
          <w:szCs w:val="24"/>
        </w:rPr>
      </w:pPr>
      <w:r w:rsidRPr="00573554">
        <w:rPr>
          <w:rFonts w:ascii="Times New Roman" w:hAnsi="Times New Roman" w:cs="Times New Roman"/>
          <w:b/>
          <w:bCs/>
          <w:sz w:val="24"/>
          <w:szCs w:val="24"/>
        </w:rPr>
        <w:t>ABSTRACT</w:t>
      </w:r>
    </w:p>
    <w:p w14:paraId="045C1E80" w14:textId="38811BD0" w:rsidR="00FB2C62" w:rsidRPr="00573554" w:rsidRDefault="00FB2C62" w:rsidP="00A55D14">
      <w:pPr>
        <w:spacing w:after="0" w:line="240" w:lineRule="auto"/>
        <w:ind w:left="1440"/>
        <w:rPr>
          <w:rFonts w:ascii="Times New Roman" w:eastAsia="Times New Roman" w:hAnsi="Times New Roman" w:cs="Times New Roman"/>
          <w:sz w:val="24"/>
          <w:szCs w:val="24"/>
        </w:rPr>
      </w:pPr>
      <w:r w:rsidRPr="00573554">
        <w:rPr>
          <w:rFonts w:ascii="Times New Roman" w:hAnsi="Times New Roman" w:cs="Times New Roman"/>
          <w:sz w:val="24"/>
          <w:szCs w:val="24"/>
        </w:rPr>
        <w:t>An examination of proposals for applications of artificial intelligence (AI) and robotics to replace white collar human managers and step into traditional white collar  management functions through  legal, regulatory, and human rights lenses. Public</w:t>
      </w:r>
      <w:r w:rsidRPr="00573554">
        <w:rPr>
          <w:rFonts w:ascii="Times New Roman" w:eastAsia="Times New Roman" w:hAnsi="Times New Roman" w:cs="Times New Roman"/>
          <w:sz w:val="24"/>
          <w:szCs w:val="24"/>
        </w:rPr>
        <w:t xml:space="preserve"> companies in the United States and globally may leverage the power of AI and robotics to reduce labor cost, risk, and liability exposure where AI and robotics may be relied upon to act with neutrality and more reliably carry out management functions. While rarely a perspective considered by management in its actions impacting their employees, the paper will consider human rights legal and policy issues inherent in proposals to and actions to replace managers with AI and robots. </w:t>
      </w:r>
    </w:p>
    <w:p w14:paraId="142BAC11" w14:textId="5D0ADA1B" w:rsidR="00200B26" w:rsidRPr="00573554" w:rsidRDefault="00200B26" w:rsidP="008B1D57">
      <w:pPr>
        <w:ind w:firstLine="720"/>
        <w:rPr>
          <w:rFonts w:ascii="Times New Roman" w:hAnsi="Times New Roman" w:cs="Times New Roman"/>
          <w:sz w:val="24"/>
          <w:szCs w:val="24"/>
        </w:rPr>
      </w:pPr>
    </w:p>
    <w:p w14:paraId="556E1D39" w14:textId="7131ED24" w:rsidR="00F60F6E" w:rsidRDefault="00E43F80" w:rsidP="00F60F6E">
      <w:pPr>
        <w:spacing w:after="0" w:line="240" w:lineRule="auto"/>
        <w:rPr>
          <w:rFonts w:ascii="Times New Roman" w:eastAsia="Calibri" w:hAnsi="Times New Roman" w:cs="Times New Roman"/>
          <w:b/>
          <w:bCs/>
          <w:iCs/>
          <w:color w:val="EE0000"/>
          <w:sz w:val="24"/>
          <w:szCs w:val="24"/>
        </w:rPr>
      </w:pPr>
      <w:r w:rsidRPr="00573554">
        <w:rPr>
          <w:rFonts w:ascii="Times New Roman" w:eastAsia="Calibri" w:hAnsi="Times New Roman" w:cs="Times New Roman"/>
          <w:b/>
          <w:bCs/>
          <w:iCs/>
          <w:color w:val="EE0000"/>
          <w:sz w:val="24"/>
          <w:szCs w:val="24"/>
        </w:rPr>
        <w:t>3</w:t>
      </w:r>
      <w:r w:rsidR="00F60F6E" w:rsidRPr="00573554">
        <w:rPr>
          <w:rFonts w:ascii="Times New Roman" w:eastAsia="Calibri" w:hAnsi="Times New Roman" w:cs="Times New Roman"/>
          <w:b/>
          <w:bCs/>
          <w:iCs/>
          <w:color w:val="EE0000"/>
          <w:sz w:val="24"/>
          <w:szCs w:val="24"/>
        </w:rPr>
        <w:t>:</w:t>
      </w:r>
      <w:r w:rsidRPr="00573554">
        <w:rPr>
          <w:rFonts w:ascii="Times New Roman" w:eastAsia="Calibri" w:hAnsi="Times New Roman" w:cs="Times New Roman"/>
          <w:b/>
          <w:bCs/>
          <w:iCs/>
          <w:color w:val="EE0000"/>
          <w:sz w:val="24"/>
          <w:szCs w:val="24"/>
        </w:rPr>
        <w:t>00</w:t>
      </w:r>
      <w:r w:rsidR="00F60F6E" w:rsidRPr="00573554">
        <w:rPr>
          <w:rFonts w:ascii="Times New Roman" w:eastAsia="Calibri" w:hAnsi="Times New Roman" w:cs="Times New Roman"/>
          <w:b/>
          <w:bCs/>
          <w:iCs/>
          <w:color w:val="EE0000"/>
          <w:sz w:val="24"/>
          <w:szCs w:val="24"/>
        </w:rPr>
        <w:t xml:space="preserve"> – 3</w:t>
      </w:r>
      <w:r w:rsidR="00010800" w:rsidRPr="00573554">
        <w:rPr>
          <w:rFonts w:ascii="Times New Roman" w:eastAsia="Calibri" w:hAnsi="Times New Roman" w:cs="Times New Roman"/>
          <w:b/>
          <w:bCs/>
          <w:iCs/>
          <w:color w:val="EE0000"/>
          <w:sz w:val="24"/>
          <w:szCs w:val="24"/>
        </w:rPr>
        <w:t>:</w:t>
      </w:r>
      <w:r w:rsidRPr="00573554">
        <w:rPr>
          <w:rFonts w:ascii="Times New Roman" w:eastAsia="Calibri" w:hAnsi="Times New Roman" w:cs="Times New Roman"/>
          <w:b/>
          <w:bCs/>
          <w:iCs/>
          <w:color w:val="EE0000"/>
          <w:sz w:val="24"/>
          <w:szCs w:val="24"/>
        </w:rPr>
        <w:t>15</w:t>
      </w:r>
      <w:r w:rsidR="00F60F6E" w:rsidRPr="00573554">
        <w:rPr>
          <w:rFonts w:ascii="Times New Roman" w:eastAsia="Calibri" w:hAnsi="Times New Roman" w:cs="Times New Roman"/>
          <w:b/>
          <w:bCs/>
          <w:iCs/>
          <w:color w:val="EE0000"/>
          <w:sz w:val="24"/>
          <w:szCs w:val="24"/>
        </w:rPr>
        <w:t xml:space="preserve"> Break</w:t>
      </w:r>
    </w:p>
    <w:p w14:paraId="7404EC67" w14:textId="77777777" w:rsidR="00573554" w:rsidRDefault="00573554" w:rsidP="00F60F6E">
      <w:pPr>
        <w:spacing w:after="0" w:line="240" w:lineRule="auto"/>
        <w:rPr>
          <w:rFonts w:ascii="Times New Roman" w:eastAsia="Calibri" w:hAnsi="Times New Roman" w:cs="Times New Roman"/>
          <w:b/>
          <w:bCs/>
          <w:iCs/>
          <w:color w:val="EE0000"/>
          <w:sz w:val="24"/>
          <w:szCs w:val="24"/>
        </w:rPr>
      </w:pPr>
    </w:p>
    <w:p w14:paraId="77888D0F" w14:textId="77777777" w:rsidR="00573554" w:rsidRDefault="00573554" w:rsidP="00F60F6E">
      <w:pPr>
        <w:spacing w:after="0" w:line="240" w:lineRule="auto"/>
        <w:rPr>
          <w:rFonts w:ascii="Times New Roman" w:eastAsia="Calibri" w:hAnsi="Times New Roman" w:cs="Times New Roman"/>
          <w:b/>
          <w:bCs/>
          <w:iCs/>
          <w:color w:val="EE0000"/>
          <w:sz w:val="24"/>
          <w:szCs w:val="24"/>
        </w:rPr>
      </w:pPr>
    </w:p>
    <w:p w14:paraId="1036F1F8" w14:textId="77777777" w:rsidR="00573554" w:rsidRDefault="00573554" w:rsidP="00F60F6E">
      <w:pPr>
        <w:spacing w:after="0" w:line="240" w:lineRule="auto"/>
        <w:rPr>
          <w:rFonts w:ascii="Times New Roman" w:eastAsia="Calibri" w:hAnsi="Times New Roman" w:cs="Times New Roman"/>
          <w:b/>
          <w:bCs/>
          <w:iCs/>
          <w:color w:val="EE0000"/>
          <w:sz w:val="24"/>
          <w:szCs w:val="24"/>
        </w:rPr>
      </w:pPr>
    </w:p>
    <w:p w14:paraId="7FC1B651" w14:textId="77777777" w:rsidR="00573554" w:rsidRDefault="00573554" w:rsidP="00F60F6E">
      <w:pPr>
        <w:spacing w:after="0" w:line="240" w:lineRule="auto"/>
        <w:rPr>
          <w:rFonts w:ascii="Times New Roman" w:eastAsia="Calibri" w:hAnsi="Times New Roman" w:cs="Times New Roman"/>
          <w:b/>
          <w:bCs/>
          <w:iCs/>
          <w:color w:val="EE0000"/>
          <w:sz w:val="24"/>
          <w:szCs w:val="24"/>
        </w:rPr>
      </w:pPr>
    </w:p>
    <w:p w14:paraId="4976001A" w14:textId="77777777" w:rsidR="00573554" w:rsidRDefault="00573554" w:rsidP="00F60F6E">
      <w:pPr>
        <w:spacing w:after="0" w:line="240" w:lineRule="auto"/>
        <w:rPr>
          <w:rFonts w:ascii="Times New Roman" w:eastAsia="Calibri" w:hAnsi="Times New Roman" w:cs="Times New Roman"/>
          <w:b/>
          <w:bCs/>
          <w:iCs/>
          <w:color w:val="EE0000"/>
          <w:sz w:val="24"/>
          <w:szCs w:val="24"/>
        </w:rPr>
      </w:pPr>
    </w:p>
    <w:p w14:paraId="3886412F" w14:textId="77777777" w:rsidR="00573554" w:rsidRDefault="00573554" w:rsidP="00F60F6E">
      <w:pPr>
        <w:spacing w:after="0" w:line="240" w:lineRule="auto"/>
        <w:rPr>
          <w:rFonts w:ascii="Times New Roman" w:eastAsia="Calibri" w:hAnsi="Times New Roman" w:cs="Times New Roman"/>
          <w:b/>
          <w:bCs/>
          <w:iCs/>
          <w:color w:val="EE0000"/>
          <w:sz w:val="24"/>
          <w:szCs w:val="24"/>
        </w:rPr>
      </w:pPr>
    </w:p>
    <w:p w14:paraId="61B0B64F" w14:textId="77777777" w:rsidR="00573554" w:rsidRDefault="00573554" w:rsidP="00F60F6E">
      <w:pPr>
        <w:spacing w:after="0" w:line="240" w:lineRule="auto"/>
        <w:rPr>
          <w:rFonts w:ascii="Times New Roman" w:eastAsia="Calibri" w:hAnsi="Times New Roman" w:cs="Times New Roman"/>
          <w:b/>
          <w:bCs/>
          <w:iCs/>
          <w:color w:val="EE0000"/>
          <w:sz w:val="24"/>
          <w:szCs w:val="24"/>
        </w:rPr>
      </w:pPr>
    </w:p>
    <w:p w14:paraId="15DCC1B0" w14:textId="77777777" w:rsidR="00573554" w:rsidRPr="00573554" w:rsidRDefault="00573554" w:rsidP="00F60F6E">
      <w:pPr>
        <w:spacing w:after="0" w:line="240" w:lineRule="auto"/>
        <w:rPr>
          <w:rFonts w:ascii="Times New Roman" w:eastAsia="Calibri" w:hAnsi="Times New Roman" w:cs="Times New Roman"/>
          <w:b/>
          <w:bCs/>
          <w:iCs/>
          <w:color w:val="EE0000"/>
          <w:sz w:val="24"/>
          <w:szCs w:val="24"/>
        </w:rPr>
      </w:pPr>
    </w:p>
    <w:p w14:paraId="1722436C" w14:textId="77777777" w:rsidR="006F1AD6" w:rsidRPr="00573554" w:rsidRDefault="006F1AD6" w:rsidP="004F4789">
      <w:pPr>
        <w:ind w:firstLine="720"/>
        <w:rPr>
          <w:rFonts w:ascii="Times New Roman" w:hAnsi="Times New Roman" w:cs="Times New Roman"/>
          <w:sz w:val="24"/>
          <w:szCs w:val="24"/>
        </w:rPr>
      </w:pPr>
    </w:p>
    <w:p w14:paraId="61A1551D" w14:textId="77777777" w:rsidR="004B2134" w:rsidRPr="00573554" w:rsidRDefault="002B2F18" w:rsidP="00952C33">
      <w:pPr>
        <w:ind w:left="720"/>
        <w:rPr>
          <w:rFonts w:ascii="Times New Roman" w:hAnsi="Times New Roman" w:cs="Times New Roman"/>
          <w:sz w:val="24"/>
          <w:szCs w:val="24"/>
          <w:u w:val="single"/>
        </w:rPr>
      </w:pPr>
      <w:r w:rsidRPr="00573554">
        <w:rPr>
          <w:rFonts w:ascii="Times New Roman" w:hAnsi="Times New Roman" w:cs="Times New Roman"/>
          <w:sz w:val="24"/>
          <w:szCs w:val="24"/>
          <w:u w:val="single"/>
        </w:rPr>
        <w:lastRenderedPageBreak/>
        <w:t>3:</w:t>
      </w:r>
      <w:r w:rsidR="00E43F80" w:rsidRPr="00573554">
        <w:rPr>
          <w:rFonts w:ascii="Times New Roman" w:hAnsi="Times New Roman" w:cs="Times New Roman"/>
          <w:sz w:val="24"/>
          <w:szCs w:val="24"/>
          <w:u w:val="single"/>
        </w:rPr>
        <w:t>15</w:t>
      </w:r>
      <w:r w:rsidRPr="00573554">
        <w:rPr>
          <w:rFonts w:ascii="Times New Roman" w:hAnsi="Times New Roman" w:cs="Times New Roman"/>
          <w:sz w:val="24"/>
          <w:szCs w:val="24"/>
          <w:u w:val="single"/>
        </w:rPr>
        <w:t xml:space="preserve"> </w:t>
      </w:r>
      <w:r w:rsidR="002D46B0" w:rsidRPr="00573554">
        <w:rPr>
          <w:rFonts w:ascii="Times New Roman" w:hAnsi="Times New Roman" w:cs="Times New Roman"/>
          <w:sz w:val="24"/>
          <w:szCs w:val="24"/>
          <w:u w:val="single"/>
        </w:rPr>
        <w:t>–</w:t>
      </w:r>
      <w:r w:rsidRPr="00573554">
        <w:rPr>
          <w:rFonts w:ascii="Times New Roman" w:hAnsi="Times New Roman" w:cs="Times New Roman"/>
          <w:sz w:val="24"/>
          <w:szCs w:val="24"/>
          <w:u w:val="single"/>
        </w:rPr>
        <w:t xml:space="preserve"> </w:t>
      </w:r>
      <w:r w:rsidR="002D46B0" w:rsidRPr="00573554">
        <w:rPr>
          <w:rFonts w:ascii="Times New Roman" w:hAnsi="Times New Roman" w:cs="Times New Roman"/>
          <w:sz w:val="24"/>
          <w:szCs w:val="24"/>
          <w:u w:val="single"/>
        </w:rPr>
        <w:t>3:</w:t>
      </w:r>
      <w:r w:rsidR="00E43F80" w:rsidRPr="00573554">
        <w:rPr>
          <w:rFonts w:ascii="Times New Roman" w:hAnsi="Times New Roman" w:cs="Times New Roman"/>
          <w:sz w:val="24"/>
          <w:szCs w:val="24"/>
          <w:u w:val="single"/>
        </w:rPr>
        <w:t>45</w:t>
      </w:r>
      <w:r w:rsidR="004B2134" w:rsidRPr="00573554">
        <w:rPr>
          <w:rFonts w:ascii="Times New Roman" w:hAnsi="Times New Roman" w:cs="Times New Roman"/>
          <w:sz w:val="24"/>
          <w:szCs w:val="24"/>
          <w:u w:val="single"/>
        </w:rPr>
        <w:t xml:space="preserve"> Justín Marcos Reyna, University of Maryland </w:t>
      </w:r>
    </w:p>
    <w:p w14:paraId="570AD875" w14:textId="77777777" w:rsidR="004B2134" w:rsidRPr="00573554" w:rsidRDefault="004B2134" w:rsidP="006317F2">
      <w:pPr>
        <w:ind w:left="720" w:firstLine="720"/>
        <w:rPr>
          <w:rFonts w:ascii="Times New Roman" w:hAnsi="Times New Roman" w:cs="Times New Roman"/>
          <w:b/>
          <w:bCs/>
          <w:sz w:val="24"/>
          <w:szCs w:val="24"/>
        </w:rPr>
      </w:pPr>
      <w:r w:rsidRPr="00573554">
        <w:rPr>
          <w:rFonts w:ascii="Times New Roman" w:hAnsi="Times New Roman" w:cs="Times New Roman"/>
          <w:b/>
          <w:bCs/>
          <w:sz w:val="24"/>
          <w:szCs w:val="24"/>
        </w:rPr>
        <w:t xml:space="preserve">Supportive Innovations with AI Chatbots </w:t>
      </w:r>
    </w:p>
    <w:p w14:paraId="43C2B9F0" w14:textId="77777777" w:rsidR="006317F2" w:rsidRPr="00573554" w:rsidRDefault="004B2134" w:rsidP="006317F2">
      <w:pPr>
        <w:ind w:left="720"/>
        <w:jc w:val="center"/>
        <w:rPr>
          <w:rFonts w:ascii="Times New Roman" w:hAnsi="Times New Roman" w:cs="Times New Roman"/>
          <w:b/>
          <w:bCs/>
          <w:sz w:val="24"/>
          <w:szCs w:val="24"/>
        </w:rPr>
      </w:pPr>
      <w:r w:rsidRPr="00573554">
        <w:rPr>
          <w:rFonts w:ascii="Times New Roman" w:hAnsi="Times New Roman" w:cs="Times New Roman"/>
          <w:b/>
          <w:bCs/>
          <w:sz w:val="24"/>
          <w:szCs w:val="24"/>
        </w:rPr>
        <w:t>ABSTRAC</w:t>
      </w:r>
      <w:r w:rsidR="006317F2" w:rsidRPr="00573554">
        <w:rPr>
          <w:rFonts w:ascii="Times New Roman" w:hAnsi="Times New Roman" w:cs="Times New Roman"/>
          <w:b/>
          <w:bCs/>
          <w:sz w:val="24"/>
          <w:szCs w:val="24"/>
        </w:rPr>
        <w:t>T</w:t>
      </w:r>
    </w:p>
    <w:p w14:paraId="6EFE4567" w14:textId="443F1984" w:rsidR="002D46B0" w:rsidRPr="00573554" w:rsidRDefault="004B2134" w:rsidP="006317F2">
      <w:pPr>
        <w:ind w:left="1440"/>
        <w:rPr>
          <w:rFonts w:ascii="Times New Roman" w:hAnsi="Times New Roman" w:cs="Times New Roman"/>
          <w:sz w:val="24"/>
          <w:szCs w:val="24"/>
        </w:rPr>
      </w:pPr>
      <w:r w:rsidRPr="00573554">
        <w:rPr>
          <w:rFonts w:ascii="Times New Roman" w:hAnsi="Times New Roman" w:cs="Times New Roman"/>
          <w:sz w:val="24"/>
          <w:szCs w:val="24"/>
        </w:rPr>
        <w:t>College students often encounter complex academic challenges that require flexible and responsive support. This presentation highlights the use of an AI chatbot as an innovative tool to enhance student learning and engagement. Designed as a supportive companion, the chatbot provides timely explanations, clarifies difficult concepts, and extends access to academic guidance beyond the classroom. By offering dynamic responses, instant quizzes, and reinforcing material at the student’s own pace, the chatbot fosters deeper understanding and greater confidence in course content. This approach demonstrates how artificial intelligence can complement traditional instruction, creating a more inclusive and adaptable learning environment. Faculty will gain practical insights into integrating AI-driven tools into their own teaching practices to better meet students where they are in their educational journey.</w:t>
      </w:r>
    </w:p>
    <w:p w14:paraId="75A4C4CD" w14:textId="77777777" w:rsidR="0024380C" w:rsidRPr="00573554" w:rsidRDefault="0024380C" w:rsidP="006317F2">
      <w:pPr>
        <w:ind w:left="1440"/>
        <w:rPr>
          <w:rFonts w:ascii="Times New Roman" w:hAnsi="Times New Roman" w:cs="Times New Roman"/>
          <w:sz w:val="24"/>
          <w:szCs w:val="24"/>
          <w:u w:val="single"/>
        </w:rPr>
      </w:pPr>
    </w:p>
    <w:p w14:paraId="6829C93C" w14:textId="77777777" w:rsidR="000654D7" w:rsidRPr="00573554" w:rsidRDefault="002D46B0" w:rsidP="000654D7">
      <w:pPr>
        <w:ind w:left="720"/>
        <w:rPr>
          <w:rFonts w:ascii="Times New Roman" w:hAnsi="Times New Roman" w:cs="Times New Roman"/>
          <w:sz w:val="24"/>
          <w:szCs w:val="24"/>
          <w:u w:val="single"/>
        </w:rPr>
      </w:pPr>
      <w:r w:rsidRPr="00573554">
        <w:rPr>
          <w:rFonts w:ascii="Times New Roman" w:hAnsi="Times New Roman" w:cs="Times New Roman"/>
          <w:sz w:val="24"/>
          <w:szCs w:val="24"/>
          <w:u w:val="single"/>
        </w:rPr>
        <w:t>3:</w:t>
      </w:r>
      <w:r w:rsidR="00E43F80" w:rsidRPr="00573554">
        <w:rPr>
          <w:rFonts w:ascii="Times New Roman" w:hAnsi="Times New Roman" w:cs="Times New Roman"/>
          <w:sz w:val="24"/>
          <w:szCs w:val="24"/>
          <w:u w:val="single"/>
        </w:rPr>
        <w:t>45</w:t>
      </w:r>
      <w:r w:rsidRPr="00573554">
        <w:rPr>
          <w:rFonts w:ascii="Times New Roman" w:hAnsi="Times New Roman" w:cs="Times New Roman"/>
          <w:sz w:val="24"/>
          <w:szCs w:val="24"/>
          <w:u w:val="single"/>
        </w:rPr>
        <w:t xml:space="preserve"> – </w:t>
      </w:r>
      <w:r w:rsidR="006A7B85" w:rsidRPr="00573554">
        <w:rPr>
          <w:rFonts w:ascii="Times New Roman" w:hAnsi="Times New Roman" w:cs="Times New Roman"/>
          <w:sz w:val="24"/>
          <w:szCs w:val="24"/>
          <w:u w:val="single"/>
        </w:rPr>
        <w:t>4:</w:t>
      </w:r>
      <w:r w:rsidR="00E43F80" w:rsidRPr="00573554">
        <w:rPr>
          <w:rFonts w:ascii="Times New Roman" w:hAnsi="Times New Roman" w:cs="Times New Roman"/>
          <w:sz w:val="24"/>
          <w:szCs w:val="24"/>
          <w:u w:val="single"/>
        </w:rPr>
        <w:t>15</w:t>
      </w:r>
      <w:r w:rsidR="00952C33" w:rsidRPr="00573554">
        <w:rPr>
          <w:rFonts w:ascii="Times New Roman" w:hAnsi="Times New Roman" w:cs="Times New Roman"/>
          <w:sz w:val="24"/>
          <w:szCs w:val="24"/>
          <w:u w:val="single"/>
        </w:rPr>
        <w:t xml:space="preserve"> </w:t>
      </w:r>
      <w:r w:rsidR="000654D7" w:rsidRPr="00573554">
        <w:rPr>
          <w:rFonts w:ascii="Times New Roman" w:hAnsi="Times New Roman" w:cs="Times New Roman"/>
          <w:sz w:val="24"/>
          <w:szCs w:val="24"/>
          <w:u w:val="single"/>
        </w:rPr>
        <w:t xml:space="preserve">Justín Marcos Reyna, University of Maryland </w:t>
      </w:r>
    </w:p>
    <w:p w14:paraId="278CA710" w14:textId="77777777" w:rsidR="000654D7" w:rsidRPr="00573554" w:rsidRDefault="000654D7" w:rsidP="000654D7">
      <w:pPr>
        <w:ind w:left="1440"/>
        <w:rPr>
          <w:rFonts w:ascii="Times New Roman" w:hAnsi="Times New Roman" w:cs="Times New Roman"/>
          <w:b/>
          <w:bCs/>
          <w:sz w:val="24"/>
          <w:szCs w:val="24"/>
        </w:rPr>
      </w:pPr>
      <w:r w:rsidRPr="00573554">
        <w:rPr>
          <w:rFonts w:ascii="Times New Roman" w:hAnsi="Times New Roman" w:cs="Times New Roman"/>
          <w:b/>
          <w:bCs/>
          <w:sz w:val="24"/>
          <w:szCs w:val="24"/>
        </w:rPr>
        <w:t>Creating a Rule: Learning Constitutional Law by Solving A Current and Substantial Obstacle In Your Life</w:t>
      </w:r>
    </w:p>
    <w:p w14:paraId="1FA4C03A" w14:textId="76B8B8E3" w:rsidR="000654D7" w:rsidRPr="00573554" w:rsidRDefault="000654D7" w:rsidP="000654D7">
      <w:pPr>
        <w:ind w:left="720"/>
        <w:jc w:val="center"/>
        <w:rPr>
          <w:rFonts w:ascii="Times New Roman" w:hAnsi="Times New Roman" w:cs="Times New Roman"/>
          <w:b/>
          <w:bCs/>
          <w:sz w:val="24"/>
          <w:szCs w:val="24"/>
        </w:rPr>
      </w:pPr>
      <w:r w:rsidRPr="00573554">
        <w:rPr>
          <w:rFonts w:ascii="Times New Roman" w:hAnsi="Times New Roman" w:cs="Times New Roman"/>
          <w:b/>
          <w:bCs/>
          <w:sz w:val="24"/>
          <w:szCs w:val="24"/>
        </w:rPr>
        <w:t>ABSTRACT</w:t>
      </w:r>
    </w:p>
    <w:p w14:paraId="2D7DA43E" w14:textId="1DA35FF3" w:rsidR="000654D7" w:rsidRDefault="000654D7" w:rsidP="000654D7">
      <w:pPr>
        <w:ind w:left="1440"/>
        <w:rPr>
          <w:rFonts w:ascii="Times New Roman" w:hAnsi="Times New Roman" w:cs="Times New Roman"/>
          <w:sz w:val="24"/>
          <w:szCs w:val="24"/>
        </w:rPr>
      </w:pPr>
      <w:r w:rsidRPr="00573554">
        <w:rPr>
          <w:rFonts w:ascii="Times New Roman" w:hAnsi="Times New Roman" w:cs="Times New Roman"/>
          <w:sz w:val="24"/>
          <w:szCs w:val="24"/>
        </w:rPr>
        <w:t>Constitutional law is often one of the most abstract and difficult sections for business students, yet it is foundational to both professional and personal decision-making. The “Creating a Rule” pedagogy reframes this challenge by asking students to design a personal rule that addresses a real obstacle in their lives. Through guided steps, students articulate their rule, analyze their agency to enact it, consider its effects on others, and then apply constitutional scrutiny tests to evaluate its validity. This structure mirrors the process used by the Supreme Court while requiring students to balance conviction, empathy, and ethical reasoning. The approach not only reinforces constitutional doctrines such as government powers and judicial review but also develops critical thinking, empathy, and professional writing. By rooting constitutional law in lived experience, this method transforms learning from abstract study to meaningful application and creation.</w:t>
      </w:r>
    </w:p>
    <w:p w14:paraId="6CF35602" w14:textId="77777777" w:rsidR="00573554" w:rsidRDefault="00573554" w:rsidP="000654D7">
      <w:pPr>
        <w:ind w:left="1440"/>
        <w:rPr>
          <w:rFonts w:ascii="Times New Roman" w:hAnsi="Times New Roman" w:cs="Times New Roman"/>
          <w:sz w:val="24"/>
          <w:szCs w:val="24"/>
        </w:rPr>
      </w:pPr>
    </w:p>
    <w:p w14:paraId="41C5D635" w14:textId="77777777" w:rsidR="00573554" w:rsidRDefault="00573554" w:rsidP="000654D7">
      <w:pPr>
        <w:ind w:left="1440"/>
        <w:rPr>
          <w:rFonts w:ascii="Times New Roman" w:hAnsi="Times New Roman" w:cs="Times New Roman"/>
          <w:sz w:val="24"/>
          <w:szCs w:val="24"/>
        </w:rPr>
      </w:pPr>
    </w:p>
    <w:p w14:paraId="665DC084" w14:textId="77777777" w:rsidR="00573554" w:rsidRPr="00573554" w:rsidRDefault="00573554" w:rsidP="000654D7">
      <w:pPr>
        <w:ind w:left="1440"/>
        <w:rPr>
          <w:rFonts w:ascii="Times New Roman" w:hAnsi="Times New Roman" w:cs="Times New Roman"/>
          <w:sz w:val="24"/>
          <w:szCs w:val="24"/>
        </w:rPr>
      </w:pPr>
    </w:p>
    <w:p w14:paraId="35B8429D" w14:textId="77777777" w:rsidR="0024380C" w:rsidRPr="00573554" w:rsidRDefault="0024380C" w:rsidP="000654D7">
      <w:pPr>
        <w:ind w:left="1440"/>
        <w:rPr>
          <w:rFonts w:ascii="Times New Roman" w:hAnsi="Times New Roman" w:cs="Times New Roman"/>
          <w:sz w:val="24"/>
          <w:szCs w:val="24"/>
          <w:u w:val="single"/>
        </w:rPr>
      </w:pPr>
    </w:p>
    <w:p w14:paraId="6AC52AB0" w14:textId="31BA2EB6" w:rsidR="00731FCD" w:rsidRPr="00573554" w:rsidRDefault="002B2F18" w:rsidP="00852CBC">
      <w:pPr>
        <w:ind w:left="720"/>
        <w:rPr>
          <w:rFonts w:ascii="Times New Roman" w:eastAsia="Calibri" w:hAnsi="Times New Roman" w:cs="Times New Roman"/>
          <w:bCs/>
          <w:sz w:val="24"/>
          <w:szCs w:val="24"/>
          <w:u w:val="single"/>
        </w:rPr>
      </w:pPr>
      <w:r w:rsidRPr="00573554">
        <w:rPr>
          <w:rFonts w:ascii="Times New Roman" w:hAnsi="Times New Roman" w:cs="Times New Roman"/>
          <w:sz w:val="24"/>
          <w:szCs w:val="24"/>
          <w:u w:val="single"/>
        </w:rPr>
        <w:lastRenderedPageBreak/>
        <w:t>4:</w:t>
      </w:r>
      <w:r w:rsidR="00E43F80" w:rsidRPr="00573554">
        <w:rPr>
          <w:rFonts w:ascii="Times New Roman" w:hAnsi="Times New Roman" w:cs="Times New Roman"/>
          <w:sz w:val="24"/>
          <w:szCs w:val="24"/>
          <w:u w:val="single"/>
        </w:rPr>
        <w:t>15</w:t>
      </w:r>
      <w:r w:rsidRPr="00573554">
        <w:rPr>
          <w:rFonts w:ascii="Times New Roman" w:hAnsi="Times New Roman" w:cs="Times New Roman"/>
          <w:sz w:val="24"/>
          <w:szCs w:val="24"/>
          <w:u w:val="single"/>
        </w:rPr>
        <w:t xml:space="preserve"> </w:t>
      </w:r>
      <w:r w:rsidR="00A00951">
        <w:rPr>
          <w:rFonts w:ascii="Times New Roman" w:hAnsi="Times New Roman" w:cs="Times New Roman"/>
          <w:sz w:val="24"/>
          <w:szCs w:val="24"/>
          <w:u w:val="single"/>
        </w:rPr>
        <w:t xml:space="preserve">– </w:t>
      </w:r>
      <w:r w:rsidR="004E40EA" w:rsidRPr="00573554">
        <w:rPr>
          <w:rFonts w:ascii="Times New Roman" w:hAnsi="Times New Roman" w:cs="Times New Roman"/>
          <w:sz w:val="24"/>
          <w:szCs w:val="24"/>
          <w:u w:val="single"/>
        </w:rPr>
        <w:t>4</w:t>
      </w:r>
      <w:r w:rsidR="00C67EB2" w:rsidRPr="00573554">
        <w:rPr>
          <w:rFonts w:ascii="Times New Roman" w:hAnsi="Times New Roman" w:cs="Times New Roman"/>
          <w:sz w:val="24"/>
          <w:szCs w:val="24"/>
          <w:u w:val="single"/>
        </w:rPr>
        <w:t>:</w:t>
      </w:r>
      <w:r w:rsidR="00E43F80" w:rsidRPr="00573554">
        <w:rPr>
          <w:rFonts w:ascii="Times New Roman" w:hAnsi="Times New Roman" w:cs="Times New Roman"/>
          <w:sz w:val="24"/>
          <w:szCs w:val="24"/>
          <w:u w:val="single"/>
        </w:rPr>
        <w:t>45</w:t>
      </w:r>
      <w:r w:rsidR="000E1E70" w:rsidRPr="00573554">
        <w:rPr>
          <w:rFonts w:ascii="Times New Roman" w:eastAsia="Calibri" w:hAnsi="Times New Roman" w:cs="Times New Roman"/>
          <w:b/>
          <w:sz w:val="24"/>
          <w:szCs w:val="24"/>
          <w:u w:val="single"/>
        </w:rPr>
        <w:t xml:space="preserve">   </w:t>
      </w:r>
      <w:r w:rsidR="007A761C" w:rsidRPr="00573554">
        <w:rPr>
          <w:rFonts w:ascii="Times New Roman" w:eastAsia="Calibri" w:hAnsi="Times New Roman" w:cs="Times New Roman"/>
          <w:bCs/>
          <w:sz w:val="24"/>
          <w:szCs w:val="24"/>
          <w:u w:val="single"/>
        </w:rPr>
        <w:t>Raymond Keener</w:t>
      </w:r>
      <w:r w:rsidR="00852CBC" w:rsidRPr="00573554">
        <w:rPr>
          <w:rFonts w:ascii="Times New Roman" w:eastAsia="Calibri" w:hAnsi="Times New Roman" w:cs="Times New Roman"/>
          <w:bCs/>
          <w:sz w:val="24"/>
          <w:szCs w:val="24"/>
          <w:u w:val="single"/>
        </w:rPr>
        <w:t xml:space="preserve"> and </w:t>
      </w:r>
      <w:r w:rsidR="007A761C" w:rsidRPr="00573554">
        <w:rPr>
          <w:rFonts w:ascii="Times New Roman" w:eastAsia="Calibri" w:hAnsi="Times New Roman" w:cs="Times New Roman"/>
          <w:bCs/>
          <w:sz w:val="24"/>
          <w:szCs w:val="24"/>
          <w:u w:val="single"/>
        </w:rPr>
        <w:t>Tom Norton,</w:t>
      </w:r>
      <w:r w:rsidR="00852CBC" w:rsidRPr="00573554">
        <w:rPr>
          <w:rFonts w:ascii="Times New Roman" w:eastAsia="Calibri" w:hAnsi="Times New Roman" w:cs="Times New Roman"/>
          <w:bCs/>
          <w:sz w:val="24"/>
          <w:szCs w:val="24"/>
          <w:u w:val="single"/>
        </w:rPr>
        <w:t xml:space="preserve"> Marsahall University, Presented by Raymond Keener</w:t>
      </w:r>
      <w:r w:rsidR="000E1E70" w:rsidRPr="00573554">
        <w:rPr>
          <w:rFonts w:ascii="Times New Roman" w:eastAsia="Calibri" w:hAnsi="Times New Roman" w:cs="Times New Roman"/>
          <w:bCs/>
          <w:sz w:val="24"/>
          <w:szCs w:val="24"/>
          <w:u w:val="single"/>
        </w:rPr>
        <w:t xml:space="preserve">                        </w:t>
      </w:r>
    </w:p>
    <w:p w14:paraId="7BB3EB5C" w14:textId="77777777" w:rsidR="007367B0" w:rsidRPr="007367B0" w:rsidRDefault="007367B0" w:rsidP="007367B0">
      <w:pPr>
        <w:spacing w:after="0" w:line="240" w:lineRule="auto"/>
        <w:jc w:val="both"/>
        <w:rPr>
          <w:rFonts w:ascii="Times New Roman" w:eastAsia="Calibri" w:hAnsi="Times New Roman" w:cs="Times New Roman"/>
          <w:b/>
          <w:sz w:val="32"/>
          <w:szCs w:val="32"/>
        </w:rPr>
      </w:pPr>
      <w:r w:rsidRPr="007367B0">
        <w:rPr>
          <w:rFonts w:ascii="Times New Roman" w:eastAsia="Calibri" w:hAnsi="Times New Roman" w:cs="Times New Roman"/>
          <w:b/>
          <w:sz w:val="32"/>
          <w:szCs w:val="32"/>
        </w:rPr>
        <w:t xml:space="preserve">                 An Examination and Analysis of the </w:t>
      </w:r>
    </w:p>
    <w:p w14:paraId="40591D89" w14:textId="77777777" w:rsidR="007367B0" w:rsidRPr="007367B0" w:rsidRDefault="007367B0" w:rsidP="007367B0">
      <w:pPr>
        <w:spacing w:after="0" w:line="240" w:lineRule="auto"/>
        <w:jc w:val="both"/>
        <w:rPr>
          <w:rFonts w:ascii="Times New Roman" w:eastAsia="Calibri" w:hAnsi="Times New Roman" w:cs="Times New Roman"/>
          <w:b/>
          <w:sz w:val="32"/>
          <w:szCs w:val="32"/>
        </w:rPr>
      </w:pPr>
      <w:r w:rsidRPr="007367B0">
        <w:rPr>
          <w:rFonts w:ascii="Times New Roman" w:eastAsia="Calibri" w:hAnsi="Times New Roman" w:cs="Times New Roman"/>
          <w:b/>
          <w:sz w:val="32"/>
          <w:szCs w:val="32"/>
        </w:rPr>
        <w:t xml:space="preserve">                       Mandatory Repatriation Tax</w:t>
      </w:r>
    </w:p>
    <w:p w14:paraId="35CEE703" w14:textId="77777777" w:rsidR="007367B0" w:rsidRPr="007367B0" w:rsidRDefault="007367B0" w:rsidP="007367B0">
      <w:pPr>
        <w:spacing w:after="0" w:line="240" w:lineRule="auto"/>
        <w:jc w:val="both"/>
        <w:rPr>
          <w:rFonts w:ascii="Times New Roman" w:eastAsia="Calibri" w:hAnsi="Times New Roman" w:cs="Times New Roman"/>
          <w:b/>
          <w:sz w:val="32"/>
          <w:szCs w:val="32"/>
        </w:rPr>
      </w:pPr>
    </w:p>
    <w:p w14:paraId="21112BEB" w14:textId="77777777" w:rsidR="007367B0" w:rsidRPr="007367B0" w:rsidRDefault="007367B0" w:rsidP="007367B0">
      <w:pPr>
        <w:spacing w:after="0" w:line="240" w:lineRule="auto"/>
        <w:jc w:val="both"/>
        <w:rPr>
          <w:rFonts w:ascii="Times New Roman" w:eastAsia="Calibri" w:hAnsi="Times New Roman" w:cs="Times New Roman"/>
          <w:b/>
          <w:sz w:val="32"/>
          <w:szCs w:val="32"/>
        </w:rPr>
      </w:pPr>
      <w:r w:rsidRPr="007367B0">
        <w:rPr>
          <w:rFonts w:ascii="Times New Roman" w:eastAsia="Calibri" w:hAnsi="Times New Roman" w:cs="Times New Roman"/>
          <w:b/>
          <w:sz w:val="32"/>
          <w:szCs w:val="32"/>
        </w:rPr>
        <w:t xml:space="preserve">                  Raymond Keener, III, JD, CPA, LLM     </w:t>
      </w:r>
    </w:p>
    <w:p w14:paraId="2ACEAA11" w14:textId="77777777" w:rsidR="007367B0" w:rsidRPr="007367B0" w:rsidRDefault="007367B0" w:rsidP="007367B0">
      <w:pPr>
        <w:spacing w:after="0" w:line="240" w:lineRule="auto"/>
        <w:jc w:val="both"/>
        <w:rPr>
          <w:rFonts w:ascii="Times New Roman" w:eastAsia="Calibri" w:hAnsi="Times New Roman" w:cs="Times New Roman"/>
          <w:b/>
          <w:sz w:val="32"/>
          <w:szCs w:val="32"/>
        </w:rPr>
      </w:pPr>
      <w:r w:rsidRPr="007367B0">
        <w:rPr>
          <w:rFonts w:ascii="Times New Roman" w:eastAsia="Calibri" w:hAnsi="Times New Roman" w:cs="Times New Roman"/>
          <w:b/>
          <w:sz w:val="32"/>
          <w:szCs w:val="32"/>
        </w:rPr>
        <w:t xml:space="preserve">                         Tom Norton, JD, CPA, LLM</w:t>
      </w:r>
    </w:p>
    <w:p w14:paraId="555F23E5" w14:textId="77777777" w:rsidR="007367B0" w:rsidRPr="007367B0" w:rsidRDefault="007367B0" w:rsidP="007367B0">
      <w:pPr>
        <w:spacing w:after="0" w:line="240" w:lineRule="auto"/>
        <w:jc w:val="both"/>
        <w:rPr>
          <w:rFonts w:ascii="Times New Roman" w:eastAsia="Calibri" w:hAnsi="Times New Roman" w:cs="Times New Roman"/>
          <w:b/>
          <w:sz w:val="32"/>
          <w:szCs w:val="32"/>
        </w:rPr>
      </w:pPr>
      <w:r w:rsidRPr="007367B0">
        <w:rPr>
          <w:rFonts w:ascii="Times New Roman" w:eastAsia="Calibri" w:hAnsi="Times New Roman" w:cs="Times New Roman"/>
          <w:b/>
          <w:sz w:val="32"/>
          <w:szCs w:val="32"/>
        </w:rPr>
        <w:t xml:space="preserve">                        </w:t>
      </w:r>
    </w:p>
    <w:p w14:paraId="3DF0DA3D" w14:textId="77777777" w:rsidR="007367B0" w:rsidRPr="007367B0" w:rsidRDefault="007367B0" w:rsidP="007367B0">
      <w:pPr>
        <w:spacing w:after="0" w:line="240" w:lineRule="auto"/>
        <w:ind w:firstLine="720"/>
        <w:jc w:val="both"/>
        <w:rPr>
          <w:rFonts w:ascii="Times New Roman" w:eastAsia="Calibri" w:hAnsi="Times New Roman" w:cs="Times New Roman"/>
          <w:b/>
          <w:sz w:val="32"/>
          <w:szCs w:val="32"/>
        </w:rPr>
      </w:pPr>
    </w:p>
    <w:p w14:paraId="120F50AC" w14:textId="77777777" w:rsidR="007367B0" w:rsidRPr="007367B0" w:rsidRDefault="007367B0" w:rsidP="007367B0">
      <w:pPr>
        <w:spacing w:after="0" w:line="240" w:lineRule="auto"/>
        <w:jc w:val="both"/>
        <w:rPr>
          <w:rFonts w:ascii="Times New Roman" w:eastAsia="Calibri" w:hAnsi="Times New Roman" w:cs="Times New Roman"/>
          <w:b/>
          <w:sz w:val="32"/>
          <w:szCs w:val="32"/>
        </w:rPr>
      </w:pPr>
      <w:r w:rsidRPr="007367B0">
        <w:rPr>
          <w:rFonts w:ascii="Times New Roman" w:eastAsia="Calibri" w:hAnsi="Times New Roman" w:cs="Times New Roman"/>
          <w:b/>
          <w:sz w:val="32"/>
          <w:szCs w:val="32"/>
        </w:rPr>
        <w:t xml:space="preserve">Corresponding author: Associate Professor of Taxation &amp; Law, Division of Accountancy &amp; Legal Environment, Marshall University, One John Marshall Drive, Huntington, WV 257552675, (304)696-7170,FAX:(304) 696-3662, Email: Keener19@marshall.edu               </w:t>
      </w:r>
    </w:p>
    <w:p w14:paraId="709690DA" w14:textId="77777777" w:rsidR="007367B0" w:rsidRPr="007367B0" w:rsidRDefault="007367B0" w:rsidP="007367B0">
      <w:pPr>
        <w:spacing w:after="0" w:line="240" w:lineRule="auto"/>
        <w:ind w:left="720"/>
        <w:jc w:val="both"/>
        <w:rPr>
          <w:rFonts w:ascii="Times New Roman" w:eastAsia="Calibri" w:hAnsi="Times New Roman" w:cs="Times New Roman"/>
          <w:b/>
          <w:sz w:val="24"/>
          <w:szCs w:val="24"/>
        </w:rPr>
      </w:pPr>
      <w:r w:rsidRPr="007367B0">
        <w:rPr>
          <w:rFonts w:ascii="Times New Roman" w:eastAsia="Calibri" w:hAnsi="Times New Roman" w:cs="Times New Roman"/>
          <w:b/>
          <w:sz w:val="24"/>
          <w:szCs w:val="24"/>
        </w:rPr>
        <w:t xml:space="preserve"> </w:t>
      </w:r>
    </w:p>
    <w:p w14:paraId="5B3FE824" w14:textId="7C2B43B6" w:rsidR="007367B0" w:rsidRPr="007367B0" w:rsidRDefault="007367B0" w:rsidP="007367B0">
      <w:pPr>
        <w:spacing w:after="0" w:line="240" w:lineRule="auto"/>
        <w:jc w:val="both"/>
        <w:rPr>
          <w:rFonts w:ascii="Times New Roman" w:eastAsia="Calibri" w:hAnsi="Times New Roman" w:cs="Times New Roman"/>
          <w:b/>
          <w:sz w:val="32"/>
          <w:szCs w:val="32"/>
        </w:rPr>
      </w:pPr>
      <w:r w:rsidRPr="007367B0">
        <w:rPr>
          <w:rFonts w:ascii="Times New Roman" w:eastAsia="Calibri" w:hAnsi="Times New Roman" w:cs="Times New Roman"/>
          <w:b/>
          <w:sz w:val="32"/>
          <w:szCs w:val="32"/>
        </w:rPr>
        <w:t xml:space="preserve">Corresponding author: Assistant Professor of Taxation &amp; Law, Division of Accountancy &amp; Legal Environment, Marshall University, One John Marshall Drive, Huntington, WV 257552675, (304)696-2670,FAX:(304) 696-3662, Email: Norton7@marshall.edu </w:t>
      </w:r>
    </w:p>
    <w:p w14:paraId="3DB98B1D" w14:textId="77777777" w:rsidR="007367B0" w:rsidRPr="007367B0" w:rsidRDefault="007367B0" w:rsidP="007367B0">
      <w:pPr>
        <w:spacing w:after="0" w:line="240" w:lineRule="auto"/>
        <w:ind w:left="720"/>
        <w:jc w:val="both"/>
        <w:rPr>
          <w:rFonts w:ascii="Times New Roman" w:eastAsia="Calibri" w:hAnsi="Times New Roman" w:cs="Times New Roman"/>
          <w:b/>
          <w:sz w:val="24"/>
          <w:szCs w:val="24"/>
        </w:rPr>
      </w:pPr>
      <w:r w:rsidRPr="007367B0">
        <w:rPr>
          <w:rFonts w:ascii="Times New Roman" w:eastAsia="Calibri" w:hAnsi="Times New Roman" w:cs="Times New Roman"/>
          <w:b/>
          <w:sz w:val="24"/>
          <w:szCs w:val="24"/>
        </w:rPr>
        <w:t xml:space="preserve"> </w:t>
      </w:r>
    </w:p>
    <w:p w14:paraId="121AAFCE" w14:textId="77777777" w:rsidR="007367B0" w:rsidRPr="007367B0" w:rsidRDefault="007367B0" w:rsidP="007367B0">
      <w:pPr>
        <w:spacing w:after="0" w:line="240" w:lineRule="auto"/>
        <w:jc w:val="both"/>
        <w:rPr>
          <w:rFonts w:ascii="Times New Roman" w:eastAsia="Calibri" w:hAnsi="Times New Roman" w:cs="Times New Roman"/>
          <w:b/>
          <w:sz w:val="24"/>
          <w:szCs w:val="24"/>
        </w:rPr>
      </w:pPr>
      <w:r w:rsidRPr="007367B0">
        <w:rPr>
          <w:rFonts w:ascii="Times New Roman" w:eastAsia="Calibri" w:hAnsi="Times New Roman" w:cs="Times New Roman"/>
          <w:b/>
          <w:sz w:val="24"/>
          <w:szCs w:val="24"/>
        </w:rPr>
        <w:t xml:space="preserve">                                 </w:t>
      </w:r>
    </w:p>
    <w:p w14:paraId="59915770" w14:textId="77777777" w:rsidR="007367B0" w:rsidRPr="007367B0" w:rsidRDefault="007367B0" w:rsidP="007367B0">
      <w:pPr>
        <w:spacing w:after="0" w:line="240" w:lineRule="auto"/>
        <w:jc w:val="both"/>
        <w:rPr>
          <w:rFonts w:ascii="Times New Roman" w:eastAsia="Calibri" w:hAnsi="Times New Roman" w:cs="Times New Roman"/>
          <w:bCs/>
          <w:i/>
          <w:sz w:val="24"/>
          <w:szCs w:val="24"/>
        </w:rPr>
      </w:pPr>
      <w:r w:rsidRPr="007367B0">
        <w:rPr>
          <w:rFonts w:ascii="Times New Roman" w:eastAsia="Calibri" w:hAnsi="Times New Roman" w:cs="Times New Roman"/>
          <w:bCs/>
          <w:sz w:val="24"/>
          <w:szCs w:val="24"/>
        </w:rPr>
        <w:t xml:space="preserve">                                                          </w:t>
      </w:r>
      <w:r w:rsidRPr="007367B0">
        <w:rPr>
          <w:rFonts w:ascii="Times New Roman" w:eastAsia="Calibri" w:hAnsi="Times New Roman" w:cs="Times New Roman"/>
          <w:bCs/>
          <w:i/>
          <w:sz w:val="24"/>
          <w:szCs w:val="24"/>
        </w:rPr>
        <w:t>Abstract</w:t>
      </w:r>
    </w:p>
    <w:p w14:paraId="37D45AC0" w14:textId="77777777" w:rsidR="007367B0" w:rsidRPr="007367B0" w:rsidRDefault="007367B0" w:rsidP="007367B0">
      <w:pPr>
        <w:spacing w:after="0" w:line="240" w:lineRule="auto"/>
        <w:jc w:val="both"/>
        <w:rPr>
          <w:rFonts w:ascii="Times New Roman" w:eastAsia="Calibri" w:hAnsi="Times New Roman" w:cs="Times New Roman"/>
          <w:bCs/>
          <w:i/>
          <w:sz w:val="24"/>
          <w:szCs w:val="24"/>
        </w:rPr>
      </w:pPr>
    </w:p>
    <w:p w14:paraId="6F2F0900" w14:textId="4FCD5FF8" w:rsidR="007367B0" w:rsidRPr="007367B0" w:rsidRDefault="007367B0" w:rsidP="007367B0">
      <w:pPr>
        <w:spacing w:after="0" w:line="240" w:lineRule="auto"/>
        <w:jc w:val="both"/>
        <w:rPr>
          <w:rFonts w:ascii="Times New Roman" w:eastAsia="Calibri" w:hAnsi="Times New Roman" w:cs="Times New Roman"/>
          <w:b/>
          <w:sz w:val="24"/>
          <w:szCs w:val="24"/>
        </w:rPr>
      </w:pPr>
      <w:r w:rsidRPr="007367B0">
        <w:rPr>
          <w:rFonts w:ascii="Times New Roman" w:eastAsia="Calibri" w:hAnsi="Times New Roman" w:cs="Times New Roman"/>
          <w:bCs/>
          <w:i/>
          <w:sz w:val="24"/>
          <w:szCs w:val="24"/>
        </w:rPr>
        <w:t>The mandatory repatriation tax (“MRT”) was created under the provisions of the 2017 Tax Cuts and Jobs Act to require U.S. shareholders owning 10% or more of controlled foreign corporations to report and pay tax on their pro rata share of income, even if the company’s earnings were not distributed.  The United States Supreme Court recently issued a decision in an important case, Moore v. United States, which determined that the MRT is constitutional under the Sixteenth Amendment.  This paper will analyze the constitutionality of the MRT and the Supreme Court decision which affirmed the MRT along with the possible imposition of a wealth tax.</w:t>
      </w:r>
    </w:p>
    <w:p w14:paraId="7A79449A" w14:textId="77777777" w:rsidR="007367B0" w:rsidRPr="007367B0" w:rsidRDefault="007367B0" w:rsidP="007367B0">
      <w:pPr>
        <w:spacing w:after="0" w:line="240" w:lineRule="auto"/>
        <w:jc w:val="both"/>
        <w:rPr>
          <w:rFonts w:ascii="Times New Roman" w:eastAsia="Calibri" w:hAnsi="Times New Roman" w:cs="Times New Roman"/>
          <w:b/>
          <w:sz w:val="24"/>
          <w:szCs w:val="24"/>
        </w:rPr>
      </w:pPr>
    </w:p>
    <w:p w14:paraId="0D232B00" w14:textId="77777777" w:rsidR="007367B0" w:rsidRPr="007367B0" w:rsidRDefault="007367B0" w:rsidP="007367B0">
      <w:pPr>
        <w:spacing w:after="0" w:line="240" w:lineRule="auto"/>
        <w:jc w:val="both"/>
        <w:rPr>
          <w:rFonts w:ascii="Times New Roman" w:eastAsia="Calibri" w:hAnsi="Times New Roman" w:cs="Times New Roman"/>
          <w:b/>
          <w:sz w:val="24"/>
          <w:szCs w:val="24"/>
        </w:rPr>
      </w:pPr>
    </w:p>
    <w:p w14:paraId="19355A92" w14:textId="77777777" w:rsidR="007367B0" w:rsidRPr="007367B0" w:rsidRDefault="007367B0" w:rsidP="007367B0">
      <w:pPr>
        <w:numPr>
          <w:ilvl w:val="0"/>
          <w:numId w:val="6"/>
        </w:numPr>
        <w:spacing w:after="0" w:line="240" w:lineRule="auto"/>
        <w:jc w:val="both"/>
        <w:rPr>
          <w:rFonts w:ascii="Times New Roman" w:eastAsia="Calibri" w:hAnsi="Times New Roman" w:cs="Times New Roman"/>
          <w:b/>
          <w:sz w:val="24"/>
          <w:szCs w:val="24"/>
        </w:rPr>
      </w:pPr>
      <w:r w:rsidRPr="007367B0">
        <w:rPr>
          <w:rFonts w:ascii="Times New Roman" w:eastAsia="Calibri" w:hAnsi="Times New Roman" w:cs="Times New Roman"/>
          <w:b/>
          <w:sz w:val="24"/>
          <w:szCs w:val="24"/>
        </w:rPr>
        <w:t>Background and History of the Mandatory Repatriation Tax</w:t>
      </w:r>
    </w:p>
    <w:p w14:paraId="2EE05607" w14:textId="77777777" w:rsidR="007367B0" w:rsidRPr="007367B0" w:rsidRDefault="007367B0" w:rsidP="007367B0">
      <w:pPr>
        <w:spacing w:after="0" w:line="240" w:lineRule="auto"/>
        <w:ind w:left="720"/>
        <w:jc w:val="both"/>
        <w:rPr>
          <w:rFonts w:ascii="Times New Roman" w:eastAsia="Calibri" w:hAnsi="Times New Roman" w:cs="Times New Roman"/>
          <w:b/>
          <w:sz w:val="24"/>
          <w:szCs w:val="24"/>
        </w:rPr>
      </w:pPr>
    </w:p>
    <w:p w14:paraId="6F510CDA" w14:textId="77777777" w:rsidR="007367B0" w:rsidRPr="007367B0" w:rsidRDefault="007367B0" w:rsidP="007367B0">
      <w:pPr>
        <w:spacing w:after="0" w:line="240" w:lineRule="auto"/>
        <w:ind w:left="720" w:firstLine="720"/>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Prior to 2017, the United States generally taxed its corporations and residents on </w:t>
      </w:r>
    </w:p>
    <w:p w14:paraId="1366FDE3" w14:textId="77777777" w:rsidR="007367B0" w:rsidRPr="007367B0" w:rsidRDefault="007367B0" w:rsidP="007367B0">
      <w:pPr>
        <w:spacing w:after="0" w:line="240" w:lineRule="auto"/>
        <w:ind w:left="720"/>
        <w:jc w:val="both"/>
        <w:rPr>
          <w:rFonts w:ascii="Times New Roman" w:eastAsia="Calibri" w:hAnsi="Times New Roman" w:cs="Times New Roman"/>
          <w:bCs/>
          <w:sz w:val="24"/>
          <w:szCs w:val="24"/>
        </w:rPr>
      </w:pPr>
    </w:p>
    <w:p w14:paraId="71269626"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their worldwide income.  However, a US corporation could properly defer foreign income by </w:t>
      </w:r>
    </w:p>
    <w:p w14:paraId="705B21D8"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732E46FD"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retaining earnings indefinitely through a foreign subsidiary. The US corporation would pay US </w:t>
      </w:r>
    </w:p>
    <w:p w14:paraId="51664AED"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5C55390B"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tax on the foreign earnings only when such earnings were repatriated.  Upon repatriation, the </w:t>
      </w:r>
    </w:p>
    <w:p w14:paraId="4C7A37C2"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07B9E260"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lastRenderedPageBreak/>
        <w:t xml:space="preserve">earnings would then be subject to US taxation at a rate of up to 35 percent, with a credit for any </w:t>
      </w:r>
    </w:p>
    <w:p w14:paraId="012E28A3"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62D9ABB0"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foreign taxes paid.</w:t>
      </w:r>
      <w:r w:rsidRPr="007367B0">
        <w:rPr>
          <w:rFonts w:ascii="Times New Roman" w:eastAsia="Calibri" w:hAnsi="Times New Roman" w:cs="Times New Roman"/>
          <w:bCs/>
          <w:sz w:val="24"/>
          <w:szCs w:val="24"/>
          <w:vertAlign w:val="superscript"/>
        </w:rPr>
        <w:footnoteReference w:id="1"/>
      </w:r>
      <w:r w:rsidRPr="007367B0">
        <w:rPr>
          <w:rFonts w:ascii="Times New Roman" w:eastAsia="Calibri" w:hAnsi="Times New Roman" w:cs="Times New Roman"/>
          <w:bCs/>
          <w:sz w:val="24"/>
          <w:szCs w:val="24"/>
        </w:rPr>
        <w:t xml:space="preserve"> The former system of repatriation had many faults and criticisms, most </w:t>
      </w:r>
    </w:p>
    <w:p w14:paraId="539C5ACD"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305443F0"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particularly the idea that it encouraged U.S. companies to park earnings and profits abroad under </w:t>
      </w:r>
    </w:p>
    <w:p w14:paraId="2BBF2362"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5EBD2E3B"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a deferral mechanism in order to avoid the 35 percent penalty on repatriated earnings. The </w:t>
      </w:r>
    </w:p>
    <w:p w14:paraId="1AA38027"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0D780F2B"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process of repatriation historically resulted in a net US tax obligation due to the fact that the US </w:t>
      </w:r>
    </w:p>
    <w:p w14:paraId="51EAA489"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31B6F349"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tax rate was typically higher than the foreign tax rate.  As of 2015, US corporations had </w:t>
      </w:r>
    </w:p>
    <w:p w14:paraId="52A0175A"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62ACBDBF"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accumulated more than $2.6 trillion of earnings in foreign subsidiaries, according to the Joint </w:t>
      </w:r>
    </w:p>
    <w:p w14:paraId="17F8315D"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278A829F"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Committee on Taxation.</w:t>
      </w:r>
      <w:r w:rsidRPr="007367B0">
        <w:rPr>
          <w:rFonts w:ascii="Times New Roman" w:eastAsia="Calibri" w:hAnsi="Times New Roman" w:cs="Times New Roman"/>
          <w:bCs/>
          <w:sz w:val="24"/>
          <w:szCs w:val="24"/>
          <w:vertAlign w:val="superscript"/>
        </w:rPr>
        <w:footnoteReference w:id="2"/>
      </w:r>
    </w:p>
    <w:p w14:paraId="07C1CC55" w14:textId="77777777" w:rsidR="007367B0" w:rsidRPr="007367B0" w:rsidRDefault="007367B0" w:rsidP="007367B0">
      <w:pPr>
        <w:spacing w:after="0" w:line="240" w:lineRule="auto"/>
        <w:ind w:left="720"/>
        <w:jc w:val="both"/>
        <w:rPr>
          <w:rFonts w:ascii="Times New Roman" w:eastAsia="Calibri" w:hAnsi="Times New Roman" w:cs="Times New Roman"/>
          <w:bCs/>
          <w:sz w:val="24"/>
          <w:szCs w:val="24"/>
        </w:rPr>
      </w:pPr>
    </w:p>
    <w:p w14:paraId="30C87FB1" w14:textId="77777777" w:rsidR="007367B0" w:rsidRPr="007367B0" w:rsidRDefault="007367B0" w:rsidP="007367B0">
      <w:pPr>
        <w:spacing w:after="0" w:line="240" w:lineRule="auto"/>
        <w:ind w:left="720" w:firstLine="720"/>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The Tax Cuts and Jobs Act of 2017 (“TCJA”) was enacted in December 2017 </w:t>
      </w:r>
    </w:p>
    <w:p w14:paraId="16D78697"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655307CD"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and effective January 1, 2018.</w:t>
      </w:r>
      <w:r w:rsidRPr="007367B0">
        <w:rPr>
          <w:rFonts w:ascii="Times New Roman" w:eastAsia="Calibri" w:hAnsi="Times New Roman" w:cs="Times New Roman"/>
          <w:bCs/>
          <w:sz w:val="24"/>
          <w:szCs w:val="24"/>
          <w:vertAlign w:val="superscript"/>
        </w:rPr>
        <w:footnoteReference w:id="3"/>
      </w:r>
      <w:r w:rsidRPr="007367B0">
        <w:rPr>
          <w:rFonts w:ascii="Times New Roman" w:eastAsia="Calibri" w:hAnsi="Times New Roman" w:cs="Times New Roman"/>
          <w:bCs/>
          <w:sz w:val="24"/>
          <w:szCs w:val="24"/>
        </w:rPr>
        <w:t xml:space="preserve"> The TCJA included various provisions modifying subpart F, an </w:t>
      </w:r>
    </w:p>
    <w:p w14:paraId="3D5F1F1C"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053954A2"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anti-deferral regime requiring U.S. shareholders of controlled foreign corporations (CFC”)</w:t>
      </w:r>
      <w:r w:rsidRPr="007367B0">
        <w:rPr>
          <w:rFonts w:ascii="Times New Roman" w:eastAsia="Calibri" w:hAnsi="Times New Roman" w:cs="Times New Roman"/>
          <w:bCs/>
          <w:sz w:val="24"/>
          <w:szCs w:val="24"/>
          <w:vertAlign w:val="superscript"/>
        </w:rPr>
        <w:footnoteReference w:id="4"/>
      </w:r>
      <w:r w:rsidRPr="007367B0">
        <w:rPr>
          <w:rFonts w:ascii="Times New Roman" w:eastAsia="Calibri" w:hAnsi="Times New Roman" w:cs="Times New Roman"/>
          <w:bCs/>
          <w:sz w:val="24"/>
          <w:szCs w:val="24"/>
        </w:rPr>
        <w:t xml:space="preserve"> to </w:t>
      </w:r>
    </w:p>
    <w:p w14:paraId="03708E11"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1006D308"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pay tax on their share of certain forms of a CFC’s current undistributed income.</w:t>
      </w:r>
      <w:r w:rsidRPr="007367B0">
        <w:rPr>
          <w:rFonts w:ascii="Times New Roman" w:eastAsia="Calibri" w:hAnsi="Times New Roman" w:cs="Times New Roman"/>
          <w:bCs/>
          <w:sz w:val="24"/>
          <w:szCs w:val="24"/>
          <w:vertAlign w:val="superscript"/>
        </w:rPr>
        <w:footnoteReference w:id="5"/>
      </w:r>
      <w:r w:rsidRPr="007367B0">
        <w:rPr>
          <w:rFonts w:ascii="Times New Roman" w:eastAsia="Calibri" w:hAnsi="Times New Roman" w:cs="Times New Roman"/>
          <w:bCs/>
          <w:sz w:val="24"/>
          <w:szCs w:val="24"/>
        </w:rPr>
        <w:t xml:space="preserve">  Effective </w:t>
      </w:r>
    </w:p>
    <w:p w14:paraId="70DA9DDD"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0DE71DD3"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January 1, 2018, the TCJA expanded the types of CFC income subject to subpart F which would </w:t>
      </w:r>
    </w:p>
    <w:p w14:paraId="766FE8E9"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3E473ADD"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include current earnings and profits from a business.</w:t>
      </w:r>
      <w:r w:rsidRPr="007367B0">
        <w:rPr>
          <w:rFonts w:ascii="Times New Roman" w:eastAsia="Calibri" w:hAnsi="Times New Roman" w:cs="Times New Roman"/>
          <w:bCs/>
          <w:sz w:val="24"/>
          <w:szCs w:val="24"/>
          <w:vertAlign w:val="superscript"/>
        </w:rPr>
        <w:footnoteReference w:id="6"/>
      </w:r>
      <w:r w:rsidRPr="007367B0">
        <w:rPr>
          <w:rFonts w:ascii="Times New Roman" w:eastAsia="Calibri" w:hAnsi="Times New Roman" w:cs="Times New Roman"/>
          <w:bCs/>
          <w:sz w:val="24"/>
          <w:szCs w:val="24"/>
        </w:rPr>
        <w:t xml:space="preserve"> This represented an attempt by Congress to </w:t>
      </w:r>
    </w:p>
    <w:p w14:paraId="4DAA12D1"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10A0B04C"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provide an incentive to U.S. taxpayers to repatriate foreign earnings back into the United States.</w:t>
      </w:r>
      <w:r w:rsidRPr="007367B0">
        <w:rPr>
          <w:rFonts w:ascii="Times New Roman" w:eastAsia="Calibri" w:hAnsi="Times New Roman" w:cs="Times New Roman"/>
          <w:bCs/>
          <w:sz w:val="24"/>
          <w:szCs w:val="24"/>
          <w:vertAlign w:val="superscript"/>
        </w:rPr>
        <w:footnoteReference w:id="7"/>
      </w:r>
    </w:p>
    <w:p w14:paraId="7F981B50"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095CC5C0"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The TCJA also provided for the enactment of a one-time Mandatory Repatriation Tax (“MRT”), </w:t>
      </w:r>
    </w:p>
    <w:p w14:paraId="471B09A0"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734D25C6"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otherwise known as a “transition tax”, intended to ensure that a CFC’s past earnings and profits </w:t>
      </w:r>
    </w:p>
    <w:p w14:paraId="71AF1749"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651D3D2F"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do not permanently escape U.S. tax by virtue of the TCJA’s changes to subpart F.</w:t>
      </w:r>
      <w:r w:rsidRPr="007367B0">
        <w:rPr>
          <w:rFonts w:ascii="Times New Roman" w:eastAsia="Calibri" w:hAnsi="Times New Roman" w:cs="Times New Roman"/>
          <w:bCs/>
          <w:sz w:val="24"/>
          <w:szCs w:val="24"/>
          <w:vertAlign w:val="superscript"/>
        </w:rPr>
        <w:footnoteReference w:id="8"/>
      </w:r>
      <w:r w:rsidRPr="007367B0">
        <w:rPr>
          <w:rFonts w:ascii="Times New Roman" w:eastAsia="Calibri" w:hAnsi="Times New Roman" w:cs="Times New Roman"/>
          <w:bCs/>
          <w:sz w:val="24"/>
          <w:szCs w:val="24"/>
        </w:rPr>
        <w:t xml:space="preserve">  The MRT </w:t>
      </w:r>
    </w:p>
    <w:p w14:paraId="2DC1230B"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656A3735"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applies to the undistributed earnings and profits that a CFC earned between January 21, 1987 and </w:t>
      </w:r>
    </w:p>
    <w:p w14:paraId="36D4E0C5"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1FBFAA5A"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lastRenderedPageBreak/>
        <w:t>December 31, 2017.</w:t>
      </w:r>
      <w:r w:rsidRPr="007367B0">
        <w:rPr>
          <w:rFonts w:ascii="Times New Roman" w:eastAsia="Calibri" w:hAnsi="Times New Roman" w:cs="Times New Roman"/>
          <w:bCs/>
          <w:sz w:val="24"/>
          <w:szCs w:val="24"/>
          <w:vertAlign w:val="superscript"/>
        </w:rPr>
        <w:footnoteReference w:id="9"/>
      </w:r>
      <w:r w:rsidRPr="007367B0">
        <w:rPr>
          <w:rFonts w:ascii="Times New Roman" w:eastAsia="Calibri" w:hAnsi="Times New Roman" w:cs="Times New Roman"/>
          <w:bCs/>
          <w:sz w:val="24"/>
          <w:szCs w:val="24"/>
        </w:rPr>
        <w:t xml:space="preserve">  The transition tax is levied upon a U.S. shareholder’s ratable share of a </w:t>
      </w:r>
    </w:p>
    <w:p w14:paraId="16F70ECC"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1EFF6242"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CFC’s undistributable earnings and profits during this period by treating the entire amount as </w:t>
      </w:r>
    </w:p>
    <w:p w14:paraId="46692FA7"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4C5603EA"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subpart F income in 2017.</w:t>
      </w:r>
    </w:p>
    <w:p w14:paraId="1AE11794"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48524E00"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ab/>
        <w:t xml:space="preserve">The MRT or transition tax is set forth within Section 965 of the Internal Revenue Code. </w:t>
      </w:r>
    </w:p>
    <w:p w14:paraId="1887298C"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1451A7A5"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Those shareholders owning at least ten percent (10%) of a specified CFC are subject to the tax.  </w:t>
      </w:r>
    </w:p>
    <w:p w14:paraId="1B9918DF"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5B5BD1C4"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With respect to corporations, a tax rate of 15.5% applies to cash and cash equivalents while an </w:t>
      </w:r>
    </w:p>
    <w:p w14:paraId="6C8B333A"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33392EE8"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8% rate applies to other assets.   The tax rate with respect to individuals depends upon their </w:t>
      </w:r>
    </w:p>
    <w:p w14:paraId="33C9576B"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4E2B753E"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individual circumstances.  The Section 965 transition tax provides an option for taxpayers to pay </w:t>
      </w:r>
    </w:p>
    <w:p w14:paraId="743DAF66"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7D7EE120"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their net tax liability in eight annual installments.</w:t>
      </w:r>
      <w:r w:rsidRPr="007367B0">
        <w:rPr>
          <w:rFonts w:ascii="Times New Roman" w:eastAsia="Calibri" w:hAnsi="Times New Roman" w:cs="Times New Roman"/>
          <w:bCs/>
          <w:sz w:val="24"/>
          <w:szCs w:val="24"/>
          <w:vertAlign w:val="superscript"/>
        </w:rPr>
        <w:footnoteReference w:id="10"/>
      </w:r>
      <w:r w:rsidRPr="007367B0">
        <w:rPr>
          <w:rFonts w:ascii="Times New Roman" w:eastAsia="Calibri" w:hAnsi="Times New Roman" w:cs="Times New Roman"/>
          <w:bCs/>
          <w:sz w:val="24"/>
          <w:szCs w:val="24"/>
        </w:rPr>
        <w:t xml:space="preserve"> At the time of passage, the Joint Committee </w:t>
      </w:r>
    </w:p>
    <w:p w14:paraId="078F793F"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262B19AA"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on Taxation estimated that the mandatory repatriation tax would increase federal revenues by </w:t>
      </w:r>
    </w:p>
    <w:p w14:paraId="5E8455F0"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15E1C775"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$338 billion in the ten fiscal years from 2018 to 2027.</w:t>
      </w:r>
      <w:r w:rsidRPr="007367B0">
        <w:rPr>
          <w:rFonts w:ascii="Times New Roman" w:eastAsia="Calibri" w:hAnsi="Times New Roman" w:cs="Times New Roman"/>
          <w:bCs/>
          <w:sz w:val="24"/>
          <w:szCs w:val="24"/>
          <w:vertAlign w:val="superscript"/>
        </w:rPr>
        <w:footnoteReference w:id="11"/>
      </w:r>
      <w:r w:rsidRPr="007367B0">
        <w:rPr>
          <w:rFonts w:ascii="Times New Roman" w:eastAsia="Calibri" w:hAnsi="Times New Roman" w:cs="Times New Roman"/>
          <w:bCs/>
          <w:sz w:val="24"/>
          <w:szCs w:val="24"/>
        </w:rPr>
        <w:t xml:space="preserve"> </w:t>
      </w:r>
    </w:p>
    <w:p w14:paraId="11ADA33B"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4D5BCC19" w14:textId="77777777" w:rsidR="007367B0" w:rsidRPr="007367B0" w:rsidRDefault="007367B0" w:rsidP="007367B0">
      <w:pPr>
        <w:spacing w:after="0" w:line="240" w:lineRule="auto"/>
        <w:ind w:left="360"/>
        <w:jc w:val="both"/>
        <w:rPr>
          <w:rFonts w:ascii="Times New Roman" w:eastAsia="Calibri" w:hAnsi="Times New Roman" w:cs="Times New Roman"/>
          <w:b/>
          <w:sz w:val="24"/>
          <w:szCs w:val="24"/>
        </w:rPr>
      </w:pPr>
      <w:r w:rsidRPr="007367B0">
        <w:rPr>
          <w:rFonts w:ascii="Times New Roman" w:eastAsia="Calibri" w:hAnsi="Times New Roman" w:cs="Times New Roman"/>
          <w:b/>
          <w:sz w:val="24"/>
          <w:szCs w:val="24"/>
        </w:rPr>
        <w:t>B) Moore v. United States</w:t>
      </w:r>
    </w:p>
    <w:p w14:paraId="55B1C7BA" w14:textId="77777777" w:rsidR="007367B0" w:rsidRPr="007367B0" w:rsidRDefault="007367B0" w:rsidP="007367B0">
      <w:pPr>
        <w:spacing w:after="0" w:line="240" w:lineRule="auto"/>
        <w:ind w:left="720"/>
        <w:jc w:val="both"/>
        <w:rPr>
          <w:rFonts w:ascii="Times New Roman" w:eastAsia="Calibri" w:hAnsi="Times New Roman" w:cs="Times New Roman"/>
          <w:b/>
          <w:sz w:val="24"/>
          <w:szCs w:val="24"/>
        </w:rPr>
      </w:pPr>
    </w:p>
    <w:p w14:paraId="204812F3" w14:textId="77777777" w:rsidR="007367B0" w:rsidRPr="007367B0" w:rsidRDefault="007367B0" w:rsidP="007367B0">
      <w:pPr>
        <w:spacing w:after="0" w:line="240" w:lineRule="auto"/>
        <w:ind w:firstLine="720"/>
        <w:jc w:val="both"/>
        <w:rPr>
          <w:rFonts w:ascii="Times New Roman" w:eastAsia="Calibri" w:hAnsi="Times New Roman" w:cs="Times New Roman"/>
          <w:bCs/>
          <w:sz w:val="24"/>
          <w:szCs w:val="24"/>
        </w:rPr>
      </w:pPr>
      <w:bookmarkStart w:id="5" w:name="_Hlk159169506"/>
      <w:r w:rsidRPr="007367B0">
        <w:rPr>
          <w:rFonts w:ascii="Times New Roman" w:eastAsia="Calibri" w:hAnsi="Times New Roman" w:cs="Times New Roman"/>
          <w:bCs/>
          <w:sz w:val="24"/>
          <w:szCs w:val="24"/>
        </w:rPr>
        <w:t xml:space="preserve">The Supreme Court heard arguments on December 5, 2023, in regard to the matter of </w:t>
      </w:r>
    </w:p>
    <w:p w14:paraId="080BA8BB"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4254C71B"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Moore v. United States, a case involving the constitutionality of the MRT. </w:t>
      </w:r>
      <w:bookmarkEnd w:id="5"/>
      <w:r w:rsidRPr="007367B0">
        <w:rPr>
          <w:rFonts w:ascii="Times New Roman" w:eastAsia="Calibri" w:hAnsi="Times New Roman" w:cs="Times New Roman"/>
          <w:bCs/>
          <w:sz w:val="24"/>
          <w:szCs w:val="24"/>
        </w:rPr>
        <w:t xml:space="preserve">In 2005, the taxpayers </w:t>
      </w:r>
    </w:p>
    <w:p w14:paraId="496720FD"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14695D02"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in this case, Charles and Kathleen Moore, invested $40,000 in KisanKraft, an Indian agricultural </w:t>
      </w:r>
    </w:p>
    <w:p w14:paraId="2921DA10"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12B76478"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toolmaker which provides affordable equipment to small scale farmers.  KisanKraft meets the </w:t>
      </w:r>
    </w:p>
    <w:p w14:paraId="2095FC1A"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34F5473D"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requirements of a CFC within the meaning of the MRT.  The Moores own slightly more than 10 </w:t>
      </w:r>
    </w:p>
    <w:p w14:paraId="40BAC82D"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589E3818"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percent of Kisankraft.  Over the years, KisanKraft reinvested its profits in the business, </w:t>
      </w:r>
    </w:p>
    <w:p w14:paraId="48DAD114"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0D93B660"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expanding to over 14 regional offices.  During that span of time, the Moores did not receive any </w:t>
      </w:r>
    </w:p>
    <w:p w14:paraId="76C826A3"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777F2A08"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income or distributions from KisanKraft. In 2017, the CFC had $508,000 of retained earnings </w:t>
      </w:r>
    </w:p>
    <w:p w14:paraId="647C679F"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13A01C33"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and the taxpayers were therefore subject to tax on their proportionate share of this amount, </w:t>
      </w:r>
    </w:p>
    <w:p w14:paraId="0066976A"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7ACB6A89"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lastRenderedPageBreak/>
        <w:t xml:space="preserve">resulting in an increase on their U.S. income tax liability of approximately $15,000.  The </w:t>
      </w:r>
    </w:p>
    <w:p w14:paraId="68C31057"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1E56CA86"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taxpayers filed suit in the U.S. District Court for the Western District of Washington, challenging </w:t>
      </w:r>
    </w:p>
    <w:p w14:paraId="02A44642"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732801B4"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the tax on the grounds that it is a direct tax that is not an income tax and that it therefore violates </w:t>
      </w:r>
    </w:p>
    <w:p w14:paraId="60D64B48"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1812E180"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the apportionment clause of the Sixteenth Amendment to the U.S. Constitution. The Moore’s </w:t>
      </w:r>
    </w:p>
    <w:p w14:paraId="2761A4E6"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67FFC446"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critical argument is that because the CFC’s income has not been distributed to them, it has not </w:t>
      </w:r>
    </w:p>
    <w:p w14:paraId="5A199E86"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23E36681"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been “realized”, and that unrealized income was not included in the common understanding of </w:t>
      </w:r>
    </w:p>
    <w:p w14:paraId="65E024F3"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62F6600F" w14:textId="77777777" w:rsidR="007367B0" w:rsidRPr="007367B0" w:rsidRDefault="007367B0" w:rsidP="007367B0">
      <w:pPr>
        <w:spacing w:after="0" w:line="240" w:lineRule="auto"/>
        <w:jc w:val="both"/>
        <w:rPr>
          <w:rFonts w:ascii="Times New Roman" w:eastAsia="Calibri" w:hAnsi="Times New Roman" w:cs="Times New Roman"/>
          <w:sz w:val="24"/>
          <w:szCs w:val="24"/>
        </w:rPr>
      </w:pPr>
      <w:r w:rsidRPr="007367B0">
        <w:rPr>
          <w:rFonts w:ascii="Times New Roman" w:eastAsia="Calibri" w:hAnsi="Times New Roman" w:cs="Times New Roman"/>
          <w:bCs/>
          <w:sz w:val="24"/>
          <w:szCs w:val="24"/>
        </w:rPr>
        <w:t xml:space="preserve">“income” at the time the Sixteenth Amendment was adopted. </w:t>
      </w:r>
      <w:r w:rsidRPr="007367B0">
        <w:rPr>
          <w:rFonts w:ascii="Times New Roman" w:eastAsia="Calibri" w:hAnsi="Times New Roman" w:cs="Times New Roman"/>
          <w:sz w:val="24"/>
          <w:szCs w:val="24"/>
        </w:rPr>
        <w:t xml:space="preserve">The taxpayers cited a 1920 </w:t>
      </w:r>
    </w:p>
    <w:p w14:paraId="20CFFADD" w14:textId="77777777" w:rsidR="007367B0" w:rsidRPr="007367B0" w:rsidRDefault="007367B0" w:rsidP="007367B0">
      <w:pPr>
        <w:spacing w:after="0" w:line="240" w:lineRule="auto"/>
        <w:jc w:val="both"/>
        <w:rPr>
          <w:rFonts w:ascii="Times New Roman" w:eastAsia="Calibri" w:hAnsi="Times New Roman" w:cs="Times New Roman"/>
          <w:sz w:val="24"/>
          <w:szCs w:val="24"/>
        </w:rPr>
      </w:pPr>
    </w:p>
    <w:p w14:paraId="65D7BAD6" w14:textId="77777777" w:rsidR="007367B0" w:rsidRPr="007367B0" w:rsidRDefault="007367B0" w:rsidP="007367B0">
      <w:pPr>
        <w:spacing w:after="0" w:line="240" w:lineRule="auto"/>
        <w:jc w:val="both"/>
        <w:rPr>
          <w:rFonts w:ascii="Times New Roman" w:eastAsia="Calibri" w:hAnsi="Times New Roman" w:cs="Times New Roman"/>
          <w:sz w:val="24"/>
          <w:szCs w:val="24"/>
        </w:rPr>
      </w:pPr>
      <w:r w:rsidRPr="007367B0">
        <w:rPr>
          <w:rFonts w:ascii="Times New Roman" w:eastAsia="Calibri" w:hAnsi="Times New Roman" w:cs="Times New Roman"/>
          <w:sz w:val="24"/>
          <w:szCs w:val="24"/>
        </w:rPr>
        <w:t xml:space="preserve">Supreme Court case, </w:t>
      </w:r>
      <w:r w:rsidRPr="007367B0">
        <w:rPr>
          <w:rFonts w:ascii="Times New Roman" w:eastAsia="Calibri" w:hAnsi="Times New Roman" w:cs="Times New Roman"/>
          <w:i/>
          <w:iCs/>
          <w:sz w:val="24"/>
          <w:szCs w:val="24"/>
        </w:rPr>
        <w:t>Eisner v. McComber</w:t>
      </w:r>
      <w:r w:rsidRPr="007367B0">
        <w:rPr>
          <w:rFonts w:ascii="Times New Roman" w:eastAsia="Calibri" w:hAnsi="Times New Roman" w:cs="Times New Roman"/>
          <w:sz w:val="24"/>
          <w:szCs w:val="24"/>
        </w:rPr>
        <w:t>,</w:t>
      </w:r>
      <w:r w:rsidRPr="007367B0">
        <w:rPr>
          <w:rFonts w:ascii="Times New Roman" w:eastAsia="Calibri" w:hAnsi="Times New Roman" w:cs="Times New Roman"/>
          <w:sz w:val="24"/>
          <w:szCs w:val="24"/>
          <w:vertAlign w:val="superscript"/>
        </w:rPr>
        <w:footnoteReference w:id="12"/>
      </w:r>
      <w:r w:rsidRPr="007367B0">
        <w:rPr>
          <w:rFonts w:ascii="Times New Roman" w:eastAsia="Calibri" w:hAnsi="Times New Roman" w:cs="Times New Roman"/>
          <w:sz w:val="24"/>
          <w:szCs w:val="24"/>
        </w:rPr>
        <w:t xml:space="preserve"> that invalidated a somewhat similar tax on </w:t>
      </w:r>
    </w:p>
    <w:p w14:paraId="202799AE" w14:textId="77777777" w:rsidR="007367B0" w:rsidRPr="007367B0" w:rsidRDefault="007367B0" w:rsidP="007367B0">
      <w:pPr>
        <w:spacing w:after="0" w:line="240" w:lineRule="auto"/>
        <w:jc w:val="both"/>
        <w:rPr>
          <w:rFonts w:ascii="Times New Roman" w:eastAsia="Calibri" w:hAnsi="Times New Roman" w:cs="Times New Roman"/>
          <w:sz w:val="24"/>
          <w:szCs w:val="24"/>
        </w:rPr>
      </w:pPr>
    </w:p>
    <w:p w14:paraId="2A3F7E4E" w14:textId="77777777" w:rsidR="007367B0" w:rsidRPr="007367B0" w:rsidRDefault="007367B0" w:rsidP="007367B0">
      <w:pPr>
        <w:spacing w:after="0" w:line="240" w:lineRule="auto"/>
        <w:jc w:val="both"/>
        <w:rPr>
          <w:rFonts w:ascii="Times New Roman" w:eastAsia="Calibri" w:hAnsi="Times New Roman" w:cs="Times New Roman"/>
          <w:sz w:val="24"/>
          <w:szCs w:val="24"/>
        </w:rPr>
      </w:pPr>
      <w:r w:rsidRPr="007367B0">
        <w:rPr>
          <w:rFonts w:ascii="Times New Roman" w:eastAsia="Calibri" w:hAnsi="Times New Roman" w:cs="Times New Roman"/>
          <w:sz w:val="24"/>
          <w:szCs w:val="24"/>
        </w:rPr>
        <w:t xml:space="preserve">accumulated corporate earnings, imposed on shareholders of domestic corporations even though </w:t>
      </w:r>
    </w:p>
    <w:p w14:paraId="60DD44DC" w14:textId="77777777" w:rsidR="007367B0" w:rsidRPr="007367B0" w:rsidRDefault="007367B0" w:rsidP="007367B0">
      <w:pPr>
        <w:spacing w:after="0" w:line="240" w:lineRule="auto"/>
        <w:jc w:val="both"/>
        <w:rPr>
          <w:rFonts w:ascii="Times New Roman" w:eastAsia="Calibri" w:hAnsi="Times New Roman" w:cs="Times New Roman"/>
          <w:sz w:val="24"/>
          <w:szCs w:val="24"/>
        </w:rPr>
      </w:pPr>
    </w:p>
    <w:p w14:paraId="23A7938D" w14:textId="77777777" w:rsidR="007367B0" w:rsidRPr="007367B0" w:rsidRDefault="007367B0" w:rsidP="007367B0">
      <w:pPr>
        <w:spacing w:after="0" w:line="240" w:lineRule="auto"/>
        <w:jc w:val="both"/>
        <w:rPr>
          <w:rFonts w:ascii="Times New Roman" w:eastAsia="Calibri" w:hAnsi="Times New Roman" w:cs="Times New Roman"/>
          <w:sz w:val="24"/>
          <w:szCs w:val="24"/>
        </w:rPr>
      </w:pPr>
      <w:r w:rsidRPr="007367B0">
        <w:rPr>
          <w:rFonts w:ascii="Times New Roman" w:eastAsia="Calibri" w:hAnsi="Times New Roman" w:cs="Times New Roman"/>
          <w:sz w:val="24"/>
          <w:szCs w:val="24"/>
        </w:rPr>
        <w:t xml:space="preserve">they received no cash dividend.  Instead, they received only a valueless “stock dividend” </w:t>
      </w:r>
    </w:p>
    <w:p w14:paraId="6ED443B7" w14:textId="77777777" w:rsidR="007367B0" w:rsidRPr="007367B0" w:rsidRDefault="007367B0" w:rsidP="007367B0">
      <w:pPr>
        <w:spacing w:after="0" w:line="240" w:lineRule="auto"/>
        <w:jc w:val="both"/>
        <w:rPr>
          <w:rFonts w:ascii="Times New Roman" w:eastAsia="Calibri" w:hAnsi="Times New Roman" w:cs="Times New Roman"/>
          <w:sz w:val="24"/>
          <w:szCs w:val="24"/>
        </w:rPr>
      </w:pPr>
    </w:p>
    <w:p w14:paraId="6036A5DC"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sz w:val="24"/>
          <w:szCs w:val="24"/>
        </w:rPr>
        <w:t xml:space="preserve">tantamount to a stock split. </w:t>
      </w:r>
      <w:r w:rsidRPr="007367B0">
        <w:rPr>
          <w:rFonts w:ascii="Times New Roman" w:eastAsia="Calibri" w:hAnsi="Times New Roman" w:cs="Times New Roman"/>
          <w:bCs/>
          <w:sz w:val="24"/>
          <w:szCs w:val="24"/>
        </w:rPr>
        <w:t xml:space="preserve">The taxpayers also plead, in the alternative, that the transition tax </w:t>
      </w:r>
    </w:p>
    <w:p w14:paraId="2B85D5CB"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4867A3AA"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violates the due process clause of the Fifth Amendment.  The U.S. District Court ultimately </w:t>
      </w:r>
    </w:p>
    <w:p w14:paraId="4AFE7F35"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2062F4EA"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granted the government’s motion to dismiss the taxpayer’s complaint.</w:t>
      </w:r>
    </w:p>
    <w:p w14:paraId="0F5A74A0"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1C38D9C5"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ab/>
        <w:t xml:space="preserve">The taxpayers then appealed the case to the Ninth Circuit.  The Ninth Circuit affirmed </w:t>
      </w:r>
    </w:p>
    <w:p w14:paraId="4C072485"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4910E6DF"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the U.S. District’s Court’s decision, basing its decision on three principles.  Initially, it </w:t>
      </w:r>
    </w:p>
    <w:p w14:paraId="2875C9B6"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49C816A5"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recognized that “the Supreme Court has made clear that realization of income is not a </w:t>
      </w:r>
    </w:p>
    <w:p w14:paraId="1C199561"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1C84711F"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constitutional requirement, citing</w:t>
      </w:r>
      <w:r w:rsidRPr="007367B0">
        <w:rPr>
          <w:rFonts w:ascii="Times New Roman" w:eastAsia="Calibri" w:hAnsi="Times New Roman" w:cs="Times New Roman"/>
          <w:bCs/>
          <w:i/>
          <w:iCs/>
          <w:sz w:val="24"/>
          <w:szCs w:val="24"/>
        </w:rPr>
        <w:t>, inter alia</w:t>
      </w:r>
      <w:r w:rsidRPr="007367B0">
        <w:rPr>
          <w:rFonts w:ascii="Times New Roman" w:eastAsia="Calibri" w:hAnsi="Times New Roman" w:cs="Times New Roman"/>
          <w:bCs/>
          <w:sz w:val="24"/>
          <w:szCs w:val="24"/>
        </w:rPr>
        <w:t xml:space="preserve">, the Court’s holding in </w:t>
      </w:r>
      <w:r w:rsidRPr="007367B0">
        <w:rPr>
          <w:rFonts w:ascii="Times New Roman" w:eastAsia="Calibri" w:hAnsi="Times New Roman" w:cs="Times New Roman"/>
          <w:bCs/>
          <w:i/>
          <w:iCs/>
          <w:sz w:val="24"/>
          <w:szCs w:val="24"/>
        </w:rPr>
        <w:t>Helvering v. Horst</w:t>
      </w:r>
      <w:r w:rsidRPr="007367B0">
        <w:rPr>
          <w:rFonts w:ascii="Times New Roman" w:eastAsia="Calibri" w:hAnsi="Times New Roman" w:cs="Times New Roman"/>
          <w:bCs/>
          <w:sz w:val="24"/>
          <w:szCs w:val="24"/>
        </w:rPr>
        <w:t xml:space="preserve"> that the </w:t>
      </w:r>
    </w:p>
    <w:p w14:paraId="1FF485A9"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02B85E3E"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“rule that income is not taxable until realized ….. [is] founded upon administrative </w:t>
      </w:r>
    </w:p>
    <w:p w14:paraId="76042CB0"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193356AD"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 xml:space="preserve">convenience,” and “does not mean that a taxpayer can escape taxation because he did not </w:t>
      </w:r>
    </w:p>
    <w:p w14:paraId="6190E344"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0E6B9F4B"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actually receive the money.”</w:t>
      </w:r>
      <w:r w:rsidRPr="007367B0">
        <w:rPr>
          <w:rFonts w:ascii="Times New Roman" w:eastAsia="Calibri" w:hAnsi="Times New Roman" w:cs="Times New Roman"/>
          <w:bCs/>
          <w:sz w:val="24"/>
          <w:szCs w:val="24"/>
          <w:vertAlign w:val="superscript"/>
        </w:rPr>
        <w:footnoteReference w:id="13"/>
      </w:r>
      <w:r w:rsidRPr="007367B0">
        <w:rPr>
          <w:rFonts w:ascii="Times New Roman" w:eastAsia="Calibri" w:hAnsi="Times New Roman" w:cs="Times New Roman"/>
          <w:bCs/>
          <w:sz w:val="24"/>
          <w:szCs w:val="24"/>
        </w:rPr>
        <w:t xml:space="preserve">Consequently, [w]hether the taxpayer has realized income does not </w:t>
      </w:r>
    </w:p>
    <w:p w14:paraId="51CAAFD3"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67C8189A" w14:textId="77777777" w:rsidR="007367B0" w:rsidRPr="007367B0" w:rsidRDefault="007367B0" w:rsidP="007367B0">
      <w:pPr>
        <w:spacing w:after="0" w:line="240" w:lineRule="auto"/>
        <w:jc w:val="both"/>
        <w:rPr>
          <w:rFonts w:ascii="Times New Roman" w:eastAsia="Calibri" w:hAnsi="Times New Roman" w:cs="Times New Roman"/>
          <w:bCs/>
          <w:sz w:val="24"/>
          <w:szCs w:val="24"/>
        </w:rPr>
      </w:pPr>
      <w:r w:rsidRPr="007367B0">
        <w:rPr>
          <w:rFonts w:ascii="Times New Roman" w:eastAsia="Calibri" w:hAnsi="Times New Roman" w:cs="Times New Roman"/>
          <w:bCs/>
          <w:sz w:val="24"/>
          <w:szCs w:val="24"/>
        </w:rPr>
        <w:t>determine whether a tax is constitutional.</w:t>
      </w:r>
      <w:r w:rsidRPr="007367B0">
        <w:rPr>
          <w:rFonts w:ascii="Times New Roman" w:eastAsia="Calibri" w:hAnsi="Times New Roman" w:cs="Times New Roman"/>
          <w:bCs/>
          <w:sz w:val="24"/>
          <w:szCs w:val="24"/>
          <w:vertAlign w:val="superscript"/>
        </w:rPr>
        <w:footnoteReference w:id="14"/>
      </w:r>
      <w:r w:rsidRPr="007367B0">
        <w:rPr>
          <w:rFonts w:ascii="Times New Roman" w:eastAsia="Calibri" w:hAnsi="Times New Roman" w:cs="Times New Roman"/>
          <w:bCs/>
          <w:sz w:val="24"/>
          <w:szCs w:val="24"/>
        </w:rPr>
        <w:t xml:space="preserve">  Second, it confirmed, that what constitutes taxable </w:t>
      </w:r>
    </w:p>
    <w:p w14:paraId="0264BBD1"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6D85FBAB" w14:textId="77777777" w:rsidR="007367B0" w:rsidRPr="007367B0" w:rsidRDefault="007367B0" w:rsidP="007367B0">
      <w:pPr>
        <w:spacing w:after="0" w:line="240" w:lineRule="auto"/>
        <w:jc w:val="both"/>
        <w:rPr>
          <w:rFonts w:ascii="Times New Roman" w:eastAsia="Calibri" w:hAnsi="Times New Roman" w:cs="Times New Roman"/>
          <w:bCs/>
          <w:color w:val="000000"/>
          <w:sz w:val="24"/>
          <w:szCs w:val="24"/>
        </w:rPr>
      </w:pPr>
      <w:r w:rsidRPr="007367B0">
        <w:rPr>
          <w:rFonts w:ascii="Times New Roman" w:eastAsia="Calibri" w:hAnsi="Times New Roman" w:cs="Times New Roman"/>
          <w:bCs/>
          <w:sz w:val="24"/>
          <w:szCs w:val="24"/>
        </w:rPr>
        <w:lastRenderedPageBreak/>
        <w:t>gain is also broadly construed.</w:t>
      </w:r>
      <w:r w:rsidRPr="007367B0">
        <w:rPr>
          <w:rFonts w:ascii="Times New Roman" w:eastAsia="Calibri" w:hAnsi="Times New Roman" w:cs="Times New Roman"/>
          <w:bCs/>
          <w:sz w:val="24"/>
          <w:szCs w:val="24"/>
          <w:vertAlign w:val="superscript"/>
        </w:rPr>
        <w:footnoteReference w:id="15"/>
      </w:r>
      <w:r w:rsidRPr="007367B0">
        <w:rPr>
          <w:rFonts w:ascii="Times New Roman" w:eastAsia="Calibri" w:hAnsi="Times New Roman" w:cs="Times New Roman"/>
          <w:bCs/>
          <w:sz w:val="24"/>
          <w:szCs w:val="24"/>
        </w:rPr>
        <w:t xml:space="preserve"> </w:t>
      </w:r>
      <w:r w:rsidRPr="007367B0">
        <w:rPr>
          <w:rFonts w:ascii="Times New Roman" w:eastAsia="Calibri" w:hAnsi="Times New Roman" w:cs="Times New Roman"/>
          <w:bCs/>
          <w:color w:val="000000"/>
          <w:sz w:val="24"/>
          <w:szCs w:val="24"/>
        </w:rPr>
        <w:t xml:space="preserve">Third, it held that “there is no blanket constitutional ban on </w:t>
      </w:r>
    </w:p>
    <w:p w14:paraId="4814B88C" w14:textId="77777777" w:rsidR="007367B0" w:rsidRPr="007367B0" w:rsidRDefault="007367B0" w:rsidP="007367B0">
      <w:pPr>
        <w:spacing w:after="0" w:line="240" w:lineRule="auto"/>
        <w:jc w:val="both"/>
        <w:rPr>
          <w:rFonts w:ascii="Times New Roman" w:eastAsia="Calibri" w:hAnsi="Times New Roman" w:cs="Times New Roman"/>
          <w:bCs/>
          <w:color w:val="000000"/>
          <w:sz w:val="24"/>
          <w:szCs w:val="24"/>
        </w:rPr>
      </w:pPr>
    </w:p>
    <w:p w14:paraId="5DF8B324" w14:textId="77777777" w:rsidR="007367B0" w:rsidRPr="007367B0" w:rsidRDefault="007367B0" w:rsidP="007367B0">
      <w:pPr>
        <w:spacing w:after="0" w:line="240" w:lineRule="auto"/>
        <w:jc w:val="both"/>
        <w:rPr>
          <w:rFonts w:ascii="Times New Roman" w:eastAsia="Calibri" w:hAnsi="Times New Roman" w:cs="Times New Roman"/>
          <w:bCs/>
          <w:color w:val="000000"/>
          <w:sz w:val="24"/>
          <w:szCs w:val="24"/>
        </w:rPr>
      </w:pPr>
      <w:r w:rsidRPr="007367B0">
        <w:rPr>
          <w:rFonts w:ascii="Times New Roman" w:eastAsia="Calibri" w:hAnsi="Times New Roman" w:cs="Times New Roman"/>
          <w:bCs/>
          <w:color w:val="000000"/>
          <w:sz w:val="24"/>
          <w:szCs w:val="24"/>
        </w:rPr>
        <w:t xml:space="preserve">Congress disregarding the corporate form to facilitate taxation of shareholders’ income” so </w:t>
      </w:r>
    </w:p>
    <w:p w14:paraId="28FD5594" w14:textId="77777777" w:rsidR="007367B0" w:rsidRPr="007367B0" w:rsidRDefault="007367B0" w:rsidP="007367B0">
      <w:pPr>
        <w:spacing w:after="0" w:line="240" w:lineRule="auto"/>
        <w:jc w:val="both"/>
        <w:rPr>
          <w:rFonts w:ascii="Times New Roman" w:eastAsia="Calibri" w:hAnsi="Times New Roman" w:cs="Times New Roman"/>
          <w:bCs/>
          <w:color w:val="000000"/>
          <w:sz w:val="24"/>
          <w:szCs w:val="24"/>
        </w:rPr>
      </w:pPr>
    </w:p>
    <w:p w14:paraId="19C8DF04" w14:textId="77777777" w:rsidR="007367B0" w:rsidRPr="007367B0" w:rsidRDefault="007367B0" w:rsidP="007367B0">
      <w:pPr>
        <w:spacing w:after="0" w:line="240" w:lineRule="auto"/>
        <w:jc w:val="both"/>
        <w:rPr>
          <w:rFonts w:ascii="Times New Roman" w:eastAsia="Calibri" w:hAnsi="Times New Roman" w:cs="Times New Roman"/>
          <w:bCs/>
          <w:color w:val="000000"/>
          <w:sz w:val="24"/>
          <w:szCs w:val="24"/>
        </w:rPr>
      </w:pPr>
      <w:r w:rsidRPr="007367B0">
        <w:rPr>
          <w:rFonts w:ascii="Times New Roman" w:eastAsia="Calibri" w:hAnsi="Times New Roman" w:cs="Times New Roman"/>
          <w:bCs/>
          <w:color w:val="000000"/>
          <w:sz w:val="24"/>
          <w:szCs w:val="24"/>
        </w:rPr>
        <w:t>Congress may “attribute a corporation’s income pro-rata to its shareholders.” </w:t>
      </w:r>
      <w:r w:rsidRPr="007367B0">
        <w:rPr>
          <w:rFonts w:ascii="Times New Roman" w:eastAsia="Calibri" w:hAnsi="Times New Roman" w:cs="Times New Roman"/>
          <w:bCs/>
          <w:color w:val="000000"/>
          <w:sz w:val="24"/>
          <w:szCs w:val="24"/>
          <w:vertAlign w:val="superscript"/>
        </w:rPr>
        <w:footnoteReference w:id="16"/>
      </w:r>
    </w:p>
    <w:p w14:paraId="4A206489" w14:textId="77777777" w:rsidR="007367B0" w:rsidRPr="007367B0" w:rsidRDefault="007367B0" w:rsidP="007367B0">
      <w:pPr>
        <w:spacing w:after="0" w:line="240" w:lineRule="auto"/>
        <w:jc w:val="both"/>
        <w:rPr>
          <w:rFonts w:ascii="Times New Roman" w:eastAsia="Calibri" w:hAnsi="Times New Roman" w:cs="Times New Roman"/>
          <w:bCs/>
          <w:color w:val="000000"/>
          <w:sz w:val="24"/>
          <w:szCs w:val="24"/>
        </w:rPr>
      </w:pPr>
    </w:p>
    <w:p w14:paraId="57BDAB91" w14:textId="77777777" w:rsidR="007367B0" w:rsidRPr="007367B0" w:rsidRDefault="007367B0" w:rsidP="007367B0">
      <w:pPr>
        <w:spacing w:after="0" w:line="240" w:lineRule="auto"/>
        <w:jc w:val="both"/>
        <w:rPr>
          <w:rFonts w:ascii="Times New Roman" w:eastAsia="Calibri" w:hAnsi="Times New Roman" w:cs="Times New Roman"/>
          <w:bCs/>
          <w:sz w:val="24"/>
          <w:szCs w:val="24"/>
        </w:rPr>
      </w:pPr>
    </w:p>
    <w:p w14:paraId="226BC4AD" w14:textId="77777777" w:rsidR="007367B0" w:rsidRPr="007367B0" w:rsidRDefault="007367B0" w:rsidP="007367B0">
      <w:pPr>
        <w:numPr>
          <w:ilvl w:val="0"/>
          <w:numId w:val="6"/>
        </w:numPr>
        <w:spacing w:after="0" w:line="240" w:lineRule="auto"/>
        <w:jc w:val="both"/>
        <w:rPr>
          <w:rFonts w:ascii="Times New Roman" w:eastAsia="Calibri" w:hAnsi="Times New Roman" w:cs="Times New Roman"/>
          <w:b/>
          <w:sz w:val="24"/>
          <w:szCs w:val="24"/>
        </w:rPr>
      </w:pPr>
      <w:r w:rsidRPr="007367B0">
        <w:rPr>
          <w:rFonts w:ascii="Times New Roman" w:eastAsia="Calibri" w:hAnsi="Times New Roman" w:cs="Times New Roman"/>
          <w:b/>
          <w:sz w:val="24"/>
          <w:szCs w:val="24"/>
        </w:rPr>
        <w:t xml:space="preserve"> Outcome of US v. Moore and Ramifications</w:t>
      </w:r>
    </w:p>
    <w:p w14:paraId="1B64E303" w14:textId="77777777" w:rsidR="007367B0" w:rsidRPr="007367B0" w:rsidRDefault="007367B0" w:rsidP="007367B0">
      <w:pPr>
        <w:spacing w:after="0" w:line="240" w:lineRule="auto"/>
        <w:jc w:val="both"/>
        <w:rPr>
          <w:rFonts w:ascii="Times New Roman" w:eastAsia="Calibri" w:hAnsi="Times New Roman" w:cs="Times New Roman"/>
          <w:b/>
          <w:sz w:val="24"/>
          <w:szCs w:val="24"/>
        </w:rPr>
      </w:pPr>
    </w:p>
    <w:p w14:paraId="0865AC7B" w14:textId="77777777" w:rsidR="007367B0" w:rsidRPr="007367B0" w:rsidRDefault="007367B0" w:rsidP="007367B0">
      <w:pPr>
        <w:spacing w:after="0" w:line="240" w:lineRule="auto"/>
        <w:jc w:val="both"/>
        <w:rPr>
          <w:rFonts w:ascii="Times New Roman" w:eastAsia="Times New Roman" w:hAnsi="Times New Roman" w:cs="Times New Roman"/>
          <w:sz w:val="24"/>
          <w:szCs w:val="24"/>
        </w:rPr>
      </w:pPr>
      <w:r w:rsidRPr="007367B0">
        <w:rPr>
          <w:rFonts w:ascii="Times New Roman" w:eastAsia="Calibri" w:hAnsi="Times New Roman" w:cs="Times New Roman"/>
          <w:bCs/>
          <w:sz w:val="24"/>
          <w:szCs w:val="24"/>
        </w:rPr>
        <w:tab/>
      </w:r>
      <w:r w:rsidRPr="007367B0">
        <w:rPr>
          <w:rFonts w:ascii="Times New Roman" w:eastAsia="Times New Roman" w:hAnsi="Times New Roman" w:cs="Times New Roman"/>
          <w:sz w:val="24"/>
          <w:szCs w:val="24"/>
        </w:rPr>
        <w:t xml:space="preserve">The Court upheld the tax, stating that Congress has long taxed shareholders on the </w:t>
      </w:r>
    </w:p>
    <w:p w14:paraId="3F969B9D" w14:textId="77777777" w:rsidR="007367B0" w:rsidRPr="007367B0" w:rsidRDefault="007367B0" w:rsidP="007367B0">
      <w:pPr>
        <w:spacing w:after="0" w:line="240" w:lineRule="auto"/>
        <w:jc w:val="both"/>
        <w:rPr>
          <w:rFonts w:ascii="Times New Roman" w:eastAsia="Times New Roman" w:hAnsi="Times New Roman" w:cs="Times New Roman"/>
          <w:sz w:val="24"/>
          <w:szCs w:val="24"/>
        </w:rPr>
      </w:pPr>
    </w:p>
    <w:p w14:paraId="0FDCA0F7" w14:textId="77777777" w:rsidR="007367B0" w:rsidRPr="007367B0" w:rsidRDefault="007367B0" w:rsidP="007367B0">
      <w:pPr>
        <w:spacing w:after="0" w:line="240" w:lineRule="auto"/>
        <w:jc w:val="both"/>
        <w:rPr>
          <w:rFonts w:ascii="Times New Roman" w:eastAsia="Times New Roman" w:hAnsi="Times New Roman" w:cs="Times New Roman"/>
          <w:sz w:val="24"/>
          <w:szCs w:val="24"/>
        </w:rPr>
      </w:pPr>
      <w:r w:rsidRPr="007367B0">
        <w:rPr>
          <w:rFonts w:ascii="Times New Roman" w:eastAsia="Times New Roman" w:hAnsi="Times New Roman" w:cs="Times New Roman"/>
          <w:i/>
          <w:iCs/>
          <w:sz w:val="24"/>
          <w:szCs w:val="24"/>
        </w:rPr>
        <w:t>realized income</w:t>
      </w:r>
      <w:r w:rsidRPr="007367B0">
        <w:rPr>
          <w:rFonts w:ascii="Times New Roman" w:eastAsia="Times New Roman" w:hAnsi="Times New Roman" w:cs="Times New Roman"/>
          <w:sz w:val="24"/>
          <w:szCs w:val="24"/>
        </w:rPr>
        <w:t xml:space="preserve"> of entities they own—even if that income hasn’t been distributed to </w:t>
      </w:r>
    </w:p>
    <w:p w14:paraId="1E17EFC9" w14:textId="77777777" w:rsidR="007367B0" w:rsidRPr="007367B0" w:rsidRDefault="007367B0" w:rsidP="007367B0">
      <w:pPr>
        <w:spacing w:after="0" w:line="240" w:lineRule="auto"/>
        <w:jc w:val="both"/>
        <w:rPr>
          <w:rFonts w:ascii="Times New Roman" w:eastAsia="Times New Roman" w:hAnsi="Times New Roman" w:cs="Times New Roman"/>
          <w:sz w:val="24"/>
          <w:szCs w:val="24"/>
        </w:rPr>
      </w:pPr>
    </w:p>
    <w:p w14:paraId="1756B382" w14:textId="77777777" w:rsidR="007367B0" w:rsidRPr="007367B0" w:rsidRDefault="007367B0" w:rsidP="007367B0">
      <w:pPr>
        <w:spacing w:after="0" w:line="240" w:lineRule="auto"/>
        <w:jc w:val="both"/>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t xml:space="preserve">them. Crucially, the Court did </w:t>
      </w:r>
      <w:r w:rsidRPr="007367B0">
        <w:rPr>
          <w:rFonts w:ascii="Times New Roman" w:eastAsia="Times New Roman" w:hAnsi="Times New Roman" w:cs="Times New Roman"/>
          <w:b/>
          <w:bCs/>
          <w:sz w:val="24"/>
          <w:szCs w:val="24"/>
        </w:rPr>
        <w:t>not</w:t>
      </w:r>
      <w:r w:rsidRPr="007367B0">
        <w:rPr>
          <w:rFonts w:ascii="Times New Roman" w:eastAsia="Times New Roman" w:hAnsi="Times New Roman" w:cs="Times New Roman"/>
          <w:sz w:val="24"/>
          <w:szCs w:val="24"/>
        </w:rPr>
        <w:t xml:space="preserve"> definitively rule on whether the Constitution requires income </w:t>
      </w:r>
    </w:p>
    <w:p w14:paraId="7431529F" w14:textId="77777777" w:rsidR="007367B0" w:rsidRPr="007367B0" w:rsidRDefault="007367B0" w:rsidP="007367B0">
      <w:pPr>
        <w:spacing w:after="0" w:line="240" w:lineRule="auto"/>
        <w:jc w:val="both"/>
        <w:rPr>
          <w:rFonts w:ascii="Times New Roman" w:eastAsia="Times New Roman" w:hAnsi="Times New Roman" w:cs="Times New Roman"/>
          <w:sz w:val="24"/>
          <w:szCs w:val="24"/>
        </w:rPr>
      </w:pPr>
    </w:p>
    <w:p w14:paraId="233B9A25" w14:textId="77777777" w:rsidR="007367B0" w:rsidRPr="007367B0" w:rsidRDefault="007367B0" w:rsidP="007367B0">
      <w:pPr>
        <w:spacing w:after="0" w:line="240" w:lineRule="auto"/>
        <w:jc w:val="both"/>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t xml:space="preserve">to be </w:t>
      </w:r>
      <w:r w:rsidRPr="007367B0">
        <w:rPr>
          <w:rFonts w:ascii="Times New Roman" w:eastAsia="Times New Roman" w:hAnsi="Times New Roman" w:cs="Times New Roman"/>
          <w:i/>
          <w:iCs/>
          <w:sz w:val="24"/>
          <w:szCs w:val="24"/>
        </w:rPr>
        <w:t>realized by the taxpayer</w:t>
      </w:r>
      <w:r w:rsidRPr="007367B0">
        <w:rPr>
          <w:rFonts w:ascii="Times New Roman" w:eastAsia="Times New Roman" w:hAnsi="Times New Roman" w:cs="Times New Roman"/>
          <w:sz w:val="24"/>
          <w:szCs w:val="24"/>
        </w:rPr>
        <w:t xml:space="preserve"> before it can be taxed. Justice Kavanaugh’s majority opinion </w:t>
      </w:r>
    </w:p>
    <w:p w14:paraId="40954500" w14:textId="77777777" w:rsidR="007367B0" w:rsidRPr="007367B0" w:rsidRDefault="007367B0" w:rsidP="007367B0">
      <w:pPr>
        <w:spacing w:after="0" w:line="240" w:lineRule="auto"/>
        <w:jc w:val="both"/>
        <w:rPr>
          <w:rFonts w:ascii="Times New Roman" w:eastAsia="Times New Roman" w:hAnsi="Times New Roman" w:cs="Times New Roman"/>
          <w:sz w:val="24"/>
          <w:szCs w:val="24"/>
        </w:rPr>
      </w:pPr>
    </w:p>
    <w:p w14:paraId="3984D662" w14:textId="77777777" w:rsidR="007367B0" w:rsidRPr="007367B0" w:rsidRDefault="007367B0" w:rsidP="007367B0">
      <w:pPr>
        <w:spacing w:after="0" w:line="240" w:lineRule="auto"/>
        <w:jc w:val="both"/>
        <w:rPr>
          <w:rFonts w:ascii="Times New Roman" w:eastAsia="Calibri" w:hAnsi="Times New Roman" w:cs="Times New Roman"/>
          <w:sz w:val="24"/>
          <w:szCs w:val="24"/>
        </w:rPr>
      </w:pPr>
      <w:r w:rsidRPr="007367B0">
        <w:rPr>
          <w:rFonts w:ascii="Times New Roman" w:eastAsia="Times New Roman" w:hAnsi="Times New Roman" w:cs="Times New Roman"/>
          <w:sz w:val="24"/>
          <w:szCs w:val="24"/>
        </w:rPr>
        <w:t>sidestepped that question.  Some of the potential ramifications of the Moore decision are:</w:t>
      </w:r>
    </w:p>
    <w:p w14:paraId="38214F16" w14:textId="77777777" w:rsidR="007367B0" w:rsidRPr="007367B0" w:rsidRDefault="007367B0" w:rsidP="007367B0">
      <w:pPr>
        <w:spacing w:after="0" w:line="240" w:lineRule="auto"/>
        <w:jc w:val="both"/>
        <w:rPr>
          <w:rFonts w:ascii="Times New Roman" w:eastAsia="Calibri" w:hAnsi="Times New Roman" w:cs="Times New Roman"/>
          <w:sz w:val="24"/>
          <w:szCs w:val="24"/>
        </w:rPr>
      </w:pPr>
    </w:p>
    <w:p w14:paraId="70E3BE87" w14:textId="77777777" w:rsidR="007367B0" w:rsidRPr="007367B0" w:rsidRDefault="007367B0" w:rsidP="007367B0">
      <w:pPr>
        <w:numPr>
          <w:ilvl w:val="0"/>
          <w:numId w:val="7"/>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7367B0">
        <w:rPr>
          <w:rFonts w:ascii="Times New Roman" w:eastAsia="Calibri" w:hAnsi="Times New Roman" w:cs="Times New Roman"/>
          <w:sz w:val="24"/>
          <w:szCs w:val="24"/>
        </w:rPr>
        <w:t xml:space="preserve"> </w:t>
      </w:r>
      <w:r w:rsidRPr="007367B0">
        <w:rPr>
          <w:rFonts w:ascii="Times New Roman" w:eastAsia="Times New Roman" w:hAnsi="Times New Roman" w:cs="Times New Roman"/>
          <w:color w:val="000000"/>
          <w:sz w:val="24"/>
          <w:szCs w:val="24"/>
        </w:rPr>
        <w:t xml:space="preserve">Reinforces the need for tax professionals to ensure compliance with tax provisions </w:t>
      </w:r>
    </w:p>
    <w:p w14:paraId="6C114271" w14:textId="77777777" w:rsidR="007367B0" w:rsidRPr="007367B0" w:rsidRDefault="007367B0" w:rsidP="007367B0">
      <w:pPr>
        <w:shd w:val="clear" w:color="auto" w:fill="FFFFFF"/>
        <w:spacing w:after="0" w:line="240" w:lineRule="auto"/>
        <w:ind w:left="720"/>
        <w:textAlignment w:val="baseline"/>
        <w:rPr>
          <w:rFonts w:ascii="Times New Roman" w:eastAsia="Times New Roman" w:hAnsi="Times New Roman" w:cs="Times New Roman"/>
          <w:color w:val="000000"/>
          <w:sz w:val="24"/>
          <w:szCs w:val="24"/>
        </w:rPr>
      </w:pPr>
    </w:p>
    <w:p w14:paraId="6D2EDD90" w14:textId="77777777" w:rsidR="007367B0" w:rsidRPr="007367B0" w:rsidRDefault="007367B0" w:rsidP="007367B0">
      <w:pPr>
        <w:shd w:val="clear" w:color="auto" w:fill="FFFFFF"/>
        <w:spacing w:after="0" w:line="240" w:lineRule="auto"/>
        <w:ind w:left="720"/>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t xml:space="preserve">regarding foreign income, particularly those related to CFCs. The transition tax’s </w:t>
      </w:r>
    </w:p>
    <w:p w14:paraId="39F6C889" w14:textId="77777777" w:rsidR="007367B0" w:rsidRPr="007367B0" w:rsidRDefault="007367B0" w:rsidP="007367B0">
      <w:pPr>
        <w:shd w:val="clear" w:color="auto" w:fill="FFFFFF"/>
        <w:spacing w:after="0" w:line="240" w:lineRule="auto"/>
        <w:ind w:left="720"/>
        <w:textAlignment w:val="baseline"/>
        <w:rPr>
          <w:rFonts w:ascii="Times New Roman" w:eastAsia="Times New Roman" w:hAnsi="Times New Roman" w:cs="Times New Roman"/>
          <w:color w:val="000000"/>
          <w:sz w:val="24"/>
          <w:szCs w:val="24"/>
        </w:rPr>
      </w:pPr>
    </w:p>
    <w:p w14:paraId="4B7806E9" w14:textId="77777777" w:rsidR="007367B0" w:rsidRPr="007367B0" w:rsidRDefault="007367B0" w:rsidP="007367B0">
      <w:pPr>
        <w:shd w:val="clear" w:color="auto" w:fill="FFFFFF"/>
        <w:spacing w:after="0" w:line="240" w:lineRule="auto"/>
        <w:ind w:left="720"/>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t xml:space="preserve">constitutionality means that similar taxes on undistributed foreign earnings are likely to </w:t>
      </w:r>
    </w:p>
    <w:p w14:paraId="56ADFC00" w14:textId="77777777" w:rsidR="007367B0" w:rsidRPr="007367B0" w:rsidRDefault="007367B0" w:rsidP="007367B0">
      <w:pPr>
        <w:shd w:val="clear" w:color="auto" w:fill="FFFFFF"/>
        <w:spacing w:after="0" w:line="240" w:lineRule="auto"/>
        <w:ind w:left="720"/>
        <w:textAlignment w:val="baseline"/>
        <w:rPr>
          <w:rFonts w:ascii="Times New Roman" w:eastAsia="Times New Roman" w:hAnsi="Times New Roman" w:cs="Times New Roman"/>
          <w:color w:val="000000"/>
          <w:sz w:val="24"/>
          <w:szCs w:val="24"/>
        </w:rPr>
      </w:pPr>
    </w:p>
    <w:p w14:paraId="6BA9604B" w14:textId="77777777" w:rsidR="007367B0" w:rsidRPr="007367B0" w:rsidRDefault="007367B0" w:rsidP="007367B0">
      <w:pPr>
        <w:shd w:val="clear" w:color="auto" w:fill="FFFFFF"/>
        <w:spacing w:after="0" w:line="240" w:lineRule="auto"/>
        <w:ind w:left="720"/>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t>withstand legal challenges.</w:t>
      </w:r>
    </w:p>
    <w:p w14:paraId="5BE00459" w14:textId="77777777" w:rsidR="007367B0" w:rsidRPr="007367B0" w:rsidRDefault="007367B0" w:rsidP="007367B0">
      <w:pPr>
        <w:shd w:val="clear" w:color="auto" w:fill="FFFFFF"/>
        <w:spacing w:after="0" w:line="240" w:lineRule="auto"/>
        <w:ind w:left="720"/>
        <w:textAlignment w:val="baseline"/>
        <w:rPr>
          <w:rFonts w:ascii="Times New Roman" w:eastAsia="Times New Roman" w:hAnsi="Times New Roman" w:cs="Times New Roman"/>
          <w:color w:val="000000"/>
          <w:sz w:val="24"/>
          <w:szCs w:val="24"/>
        </w:rPr>
      </w:pPr>
    </w:p>
    <w:p w14:paraId="3C13A1C6" w14:textId="77777777" w:rsidR="007367B0" w:rsidRPr="007367B0" w:rsidRDefault="007367B0" w:rsidP="007367B0">
      <w:pPr>
        <w:numPr>
          <w:ilvl w:val="0"/>
          <w:numId w:val="7"/>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t xml:space="preserve">Highlights that companies should reassess their global tax strategies to consider the tax </w:t>
      </w:r>
    </w:p>
    <w:p w14:paraId="583201CB" w14:textId="77777777" w:rsidR="007367B0" w:rsidRPr="007367B0" w:rsidRDefault="007367B0" w:rsidP="007367B0">
      <w:pPr>
        <w:shd w:val="clear" w:color="auto" w:fill="FFFFFF"/>
        <w:spacing w:after="0" w:line="240" w:lineRule="auto"/>
        <w:ind w:left="720"/>
        <w:textAlignment w:val="baseline"/>
        <w:rPr>
          <w:rFonts w:ascii="Times New Roman" w:eastAsia="Times New Roman" w:hAnsi="Times New Roman" w:cs="Times New Roman"/>
          <w:color w:val="000000"/>
          <w:sz w:val="24"/>
          <w:szCs w:val="24"/>
        </w:rPr>
      </w:pPr>
    </w:p>
    <w:p w14:paraId="117BB2EC" w14:textId="77777777" w:rsidR="007367B0" w:rsidRPr="007367B0" w:rsidRDefault="007367B0" w:rsidP="007367B0">
      <w:pPr>
        <w:shd w:val="clear" w:color="auto" w:fill="FFFFFF"/>
        <w:spacing w:after="0" w:line="240" w:lineRule="auto"/>
        <w:ind w:left="720"/>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t>implications of foreign earnings.</w:t>
      </w:r>
    </w:p>
    <w:p w14:paraId="518BC9F8" w14:textId="77777777" w:rsidR="007367B0" w:rsidRPr="007367B0" w:rsidRDefault="007367B0" w:rsidP="007367B0">
      <w:pPr>
        <w:shd w:val="clear" w:color="auto" w:fill="FFFFFF"/>
        <w:spacing w:after="0" w:line="240" w:lineRule="auto"/>
        <w:ind w:left="720"/>
        <w:textAlignment w:val="baseline"/>
        <w:rPr>
          <w:rFonts w:ascii="Times New Roman" w:eastAsia="Times New Roman" w:hAnsi="Times New Roman" w:cs="Times New Roman"/>
          <w:color w:val="000000"/>
          <w:sz w:val="24"/>
          <w:szCs w:val="24"/>
        </w:rPr>
      </w:pPr>
    </w:p>
    <w:p w14:paraId="7AD01ECF" w14:textId="77777777" w:rsidR="007367B0" w:rsidRPr="007367B0" w:rsidRDefault="007367B0" w:rsidP="007367B0">
      <w:pPr>
        <w:numPr>
          <w:ilvl w:val="0"/>
          <w:numId w:val="7"/>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t xml:space="preserve">May influence future tax legislation, particularly in the context of wealth taxes. The </w:t>
      </w:r>
    </w:p>
    <w:p w14:paraId="1D3AE4BC" w14:textId="77777777" w:rsidR="007367B0" w:rsidRPr="007367B0" w:rsidRDefault="007367B0" w:rsidP="007367B0">
      <w:pPr>
        <w:shd w:val="clear" w:color="auto" w:fill="FFFFFF"/>
        <w:spacing w:after="0" w:line="240" w:lineRule="auto"/>
        <w:ind w:left="720"/>
        <w:textAlignment w:val="baseline"/>
        <w:rPr>
          <w:rFonts w:ascii="Times New Roman" w:eastAsia="Times New Roman" w:hAnsi="Times New Roman" w:cs="Times New Roman"/>
          <w:color w:val="000000"/>
          <w:sz w:val="24"/>
          <w:szCs w:val="24"/>
        </w:rPr>
      </w:pPr>
    </w:p>
    <w:p w14:paraId="7765CBBF" w14:textId="77777777" w:rsidR="007367B0" w:rsidRPr="007367B0" w:rsidRDefault="007367B0" w:rsidP="007367B0">
      <w:pPr>
        <w:shd w:val="clear" w:color="auto" w:fill="FFFFFF"/>
        <w:spacing w:after="0" w:line="240" w:lineRule="auto"/>
        <w:ind w:left="720"/>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t>Court’s broad interpretation of Congress’s taxing</w:t>
      </w:r>
      <w:r w:rsidRPr="007367B0">
        <w:rPr>
          <w:rFonts w:ascii="Times New Roman" w:eastAsia="Times New Roman" w:hAnsi="Times New Roman" w:cs="Times New Roman"/>
          <w:color w:val="000000"/>
          <w:sz w:val="28"/>
          <w:szCs w:val="28"/>
        </w:rPr>
        <w:t xml:space="preserve"> </w:t>
      </w:r>
      <w:r w:rsidRPr="007367B0">
        <w:rPr>
          <w:rFonts w:ascii="Times New Roman" w:eastAsia="Times New Roman" w:hAnsi="Times New Roman" w:cs="Times New Roman"/>
          <w:color w:val="000000"/>
          <w:sz w:val="24"/>
          <w:szCs w:val="24"/>
        </w:rPr>
        <w:t xml:space="preserve">power could pave the way for new </w:t>
      </w:r>
    </w:p>
    <w:p w14:paraId="17465B38" w14:textId="77777777" w:rsidR="007367B0" w:rsidRPr="007367B0" w:rsidRDefault="007367B0" w:rsidP="007367B0">
      <w:pPr>
        <w:shd w:val="clear" w:color="auto" w:fill="FFFFFF"/>
        <w:spacing w:after="0" w:line="240" w:lineRule="auto"/>
        <w:ind w:left="720"/>
        <w:textAlignment w:val="baseline"/>
        <w:rPr>
          <w:rFonts w:ascii="Times New Roman" w:eastAsia="Times New Roman" w:hAnsi="Times New Roman" w:cs="Times New Roman"/>
          <w:color w:val="000000"/>
          <w:sz w:val="24"/>
          <w:szCs w:val="24"/>
        </w:rPr>
      </w:pPr>
    </w:p>
    <w:p w14:paraId="01263E80" w14:textId="77777777" w:rsidR="007367B0" w:rsidRPr="007367B0" w:rsidRDefault="007367B0" w:rsidP="007367B0">
      <w:pPr>
        <w:shd w:val="clear" w:color="auto" w:fill="FFFFFF"/>
        <w:spacing w:after="0" w:line="240" w:lineRule="auto"/>
        <w:ind w:left="720"/>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t>taxes on unrealized gains or other forms of wealth. </w:t>
      </w:r>
    </w:p>
    <w:p w14:paraId="33386F18"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70AC736"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3891948" w14:textId="77777777" w:rsidR="007367B0" w:rsidRPr="007367B0" w:rsidRDefault="007367B0" w:rsidP="007367B0">
      <w:pPr>
        <w:numPr>
          <w:ilvl w:val="0"/>
          <w:numId w:val="6"/>
        </w:numPr>
        <w:shd w:val="clear" w:color="auto" w:fill="FFFFFF"/>
        <w:spacing w:after="0" w:line="240" w:lineRule="auto"/>
        <w:jc w:val="both"/>
        <w:textAlignment w:val="baseline"/>
        <w:rPr>
          <w:rFonts w:ascii="Times New Roman" w:eastAsia="Times New Roman" w:hAnsi="Times New Roman" w:cs="Times New Roman"/>
          <w:b/>
          <w:color w:val="000000"/>
          <w:sz w:val="24"/>
          <w:szCs w:val="24"/>
        </w:rPr>
      </w:pPr>
      <w:r w:rsidRPr="007367B0">
        <w:rPr>
          <w:rFonts w:ascii="Times New Roman" w:eastAsia="Times New Roman" w:hAnsi="Times New Roman" w:cs="Times New Roman"/>
          <w:b/>
          <w:color w:val="000000"/>
          <w:sz w:val="24"/>
          <w:szCs w:val="24"/>
        </w:rPr>
        <w:t>Implications of the Moore Decision for a Wealth Tax</w:t>
      </w:r>
    </w:p>
    <w:p w14:paraId="0D9B92E6"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b/>
          <w:color w:val="000000"/>
          <w:sz w:val="24"/>
          <w:szCs w:val="24"/>
        </w:rPr>
      </w:pPr>
    </w:p>
    <w:p w14:paraId="245F3213" w14:textId="77777777" w:rsidR="007367B0" w:rsidRPr="007367B0" w:rsidRDefault="007367B0" w:rsidP="007367B0">
      <w:pPr>
        <w:shd w:val="clear" w:color="auto" w:fill="FFFFFF"/>
        <w:spacing w:after="0" w:line="240" w:lineRule="auto"/>
        <w:ind w:firstLine="720"/>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t xml:space="preserve">A federal wealth tax would likely target unrealized gains --  for example, the increase in </w:t>
      </w:r>
    </w:p>
    <w:p w14:paraId="7310BAAF"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3D6C179"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t xml:space="preserve">value of stocks, real estate, or other assets that haven’t yet been sold.  By upholding a tax on </w:t>
      </w:r>
    </w:p>
    <w:p w14:paraId="40C924C9"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7F950716"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lastRenderedPageBreak/>
        <w:t>undistributed income, the Moore Court reinforced Congress’s broad taxing powers under the 16</w:t>
      </w:r>
      <w:r w:rsidRPr="007367B0">
        <w:rPr>
          <w:rFonts w:ascii="Times New Roman" w:eastAsia="Times New Roman" w:hAnsi="Times New Roman" w:cs="Times New Roman"/>
          <w:color w:val="000000"/>
          <w:sz w:val="24"/>
          <w:szCs w:val="24"/>
          <w:vertAlign w:val="superscript"/>
        </w:rPr>
        <w:t>th</w:t>
      </w:r>
      <w:r w:rsidRPr="007367B0">
        <w:rPr>
          <w:rFonts w:ascii="Times New Roman" w:eastAsia="Times New Roman" w:hAnsi="Times New Roman" w:cs="Times New Roman"/>
          <w:color w:val="000000"/>
          <w:sz w:val="24"/>
          <w:szCs w:val="24"/>
        </w:rPr>
        <w:t xml:space="preserve"> </w:t>
      </w:r>
    </w:p>
    <w:p w14:paraId="133DCF8E"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550381A"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t xml:space="preserve">Amendment.  This opens the door to taxing wealth that hasn’t been converted into cash, as long </w:t>
      </w:r>
    </w:p>
    <w:p w14:paraId="31851C28"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A95F4C9"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t xml:space="preserve">as the underlying asset has generated income.  The Moore Court didn’t necessarily settle the </w:t>
      </w:r>
    </w:p>
    <w:p w14:paraId="45DC9D15"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B831535"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t xml:space="preserve">issue of whether a taxpayer must personally realize income for it to be taxed.  This ambiguity </w:t>
      </w:r>
    </w:p>
    <w:p w14:paraId="2ED15F48"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1411C82"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t xml:space="preserve">leaves plenty of room for future challengers if Congress attempts to impose a direct wealth tax </w:t>
      </w:r>
    </w:p>
    <w:p w14:paraId="29EF686A"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0858565"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t xml:space="preserve">on unrealized gains. Congress would certainly be able to potentially design a wealth tax to </w:t>
      </w:r>
    </w:p>
    <w:p w14:paraId="7D5B5A31"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49FF639"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t xml:space="preserve">resemble the Moore tax by attributing income or gains to taxpayers through entities or deemed </w:t>
      </w:r>
    </w:p>
    <w:p w14:paraId="77B5BC40"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203D166"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t xml:space="preserve">realization mechanisms.  If Congress were to mirror the Moore tax, it would make it more </w:t>
      </w:r>
    </w:p>
    <w:p w14:paraId="3784EA21"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116D70C"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t>difficult to challenge such a wealth tax as being unconstitutional.</w:t>
      </w:r>
    </w:p>
    <w:p w14:paraId="64449FC7" w14:textId="77777777" w:rsidR="007367B0" w:rsidRPr="007367B0" w:rsidRDefault="007367B0" w:rsidP="007367B0">
      <w:pPr>
        <w:shd w:val="clear" w:color="auto" w:fill="FFFFFF"/>
        <w:spacing w:after="0" w:line="240" w:lineRule="auto"/>
        <w:ind w:left="720"/>
        <w:textAlignment w:val="baseline"/>
        <w:rPr>
          <w:rFonts w:ascii="Times New Roman" w:eastAsia="Times New Roman" w:hAnsi="Times New Roman" w:cs="Times New Roman"/>
          <w:b/>
          <w:color w:val="000000"/>
          <w:sz w:val="24"/>
          <w:szCs w:val="24"/>
        </w:rPr>
      </w:pPr>
    </w:p>
    <w:p w14:paraId="37B28CE1" w14:textId="77777777" w:rsidR="007367B0" w:rsidRPr="007367B0" w:rsidRDefault="007367B0" w:rsidP="007367B0">
      <w:pPr>
        <w:numPr>
          <w:ilvl w:val="0"/>
          <w:numId w:val="6"/>
        </w:numPr>
        <w:shd w:val="clear" w:color="auto" w:fill="FFFFFF"/>
        <w:spacing w:after="0" w:line="240" w:lineRule="auto"/>
        <w:jc w:val="both"/>
        <w:textAlignment w:val="baseline"/>
        <w:rPr>
          <w:rFonts w:ascii="Times New Roman" w:eastAsia="Times New Roman" w:hAnsi="Times New Roman" w:cs="Times New Roman"/>
          <w:b/>
          <w:color w:val="000000"/>
          <w:sz w:val="24"/>
          <w:szCs w:val="24"/>
        </w:rPr>
      </w:pPr>
      <w:r w:rsidRPr="007367B0">
        <w:rPr>
          <w:rFonts w:ascii="Times New Roman" w:eastAsia="Times New Roman" w:hAnsi="Times New Roman" w:cs="Times New Roman"/>
          <w:b/>
          <w:color w:val="000000"/>
          <w:sz w:val="24"/>
          <w:szCs w:val="24"/>
        </w:rPr>
        <w:t>Potential Federal Wealth Tax Proposals</w:t>
      </w:r>
    </w:p>
    <w:p w14:paraId="57D37525"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b/>
          <w:color w:val="000000"/>
          <w:sz w:val="24"/>
          <w:szCs w:val="24"/>
        </w:rPr>
      </w:pPr>
    </w:p>
    <w:p w14:paraId="6641EB60" w14:textId="77777777" w:rsidR="007367B0" w:rsidRPr="007367B0" w:rsidRDefault="007367B0" w:rsidP="007367B0">
      <w:pPr>
        <w:shd w:val="clear" w:color="auto" w:fill="FFFFFF"/>
        <w:spacing w:after="0" w:line="240" w:lineRule="auto"/>
        <w:ind w:left="720"/>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t>Several proposals have been advanced which seek to tax unrealized capital gains, which</w:t>
      </w:r>
    </w:p>
    <w:p w14:paraId="09EFA10A"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901A3F8"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t xml:space="preserve">is where the Moore v. United States decision becomes relevant, and it potentially legitimizes </w:t>
      </w:r>
    </w:p>
    <w:p w14:paraId="5EFC48CB"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F817C93"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t>taxing income which hasn’t been received in cash.</w:t>
      </w:r>
    </w:p>
    <w:p w14:paraId="7594CB4C" w14:textId="77777777" w:rsidR="007367B0" w:rsidRPr="007367B0" w:rsidRDefault="007367B0" w:rsidP="007367B0">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8480FC7" w14:textId="77777777" w:rsidR="007367B0" w:rsidRPr="007367B0" w:rsidRDefault="007367B0" w:rsidP="007367B0">
      <w:pPr>
        <w:numPr>
          <w:ilvl w:val="0"/>
          <w:numId w:val="8"/>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color w:val="000000"/>
          <w:sz w:val="24"/>
          <w:szCs w:val="24"/>
        </w:rPr>
        <w:t xml:space="preserve"> </w:t>
      </w:r>
      <w:r w:rsidRPr="007367B0">
        <w:rPr>
          <w:rFonts w:ascii="Times New Roman" w:eastAsia="Times New Roman" w:hAnsi="Times New Roman" w:cs="Times New Roman"/>
          <w:b/>
          <w:color w:val="000000"/>
          <w:sz w:val="24"/>
          <w:szCs w:val="24"/>
        </w:rPr>
        <w:t xml:space="preserve">Senator Warren Proposal: </w:t>
      </w:r>
      <w:r w:rsidRPr="007367B0">
        <w:rPr>
          <w:rFonts w:ascii="Times New Roman" w:eastAsia="Times New Roman" w:hAnsi="Times New Roman" w:cs="Times New Roman"/>
          <w:sz w:val="24"/>
          <w:szCs w:val="24"/>
        </w:rPr>
        <w:t xml:space="preserve">also known as the </w:t>
      </w:r>
      <w:r w:rsidRPr="007367B0">
        <w:rPr>
          <w:rFonts w:ascii="Times New Roman" w:eastAsia="Times New Roman" w:hAnsi="Times New Roman" w:cs="Times New Roman"/>
          <w:bCs/>
          <w:sz w:val="24"/>
          <w:szCs w:val="24"/>
        </w:rPr>
        <w:t>Ultra-Millionaire Tax Act</w:t>
      </w:r>
      <w:r w:rsidRPr="007367B0">
        <w:rPr>
          <w:rFonts w:ascii="Times New Roman" w:eastAsia="Times New Roman" w:hAnsi="Times New Roman" w:cs="Times New Roman"/>
          <w:sz w:val="24"/>
          <w:szCs w:val="24"/>
        </w:rPr>
        <w:t xml:space="preserve">.  The Core   </w:t>
      </w:r>
    </w:p>
    <w:p w14:paraId="2F923829" w14:textId="77777777" w:rsidR="007367B0" w:rsidRPr="007367B0" w:rsidRDefault="007367B0" w:rsidP="007367B0">
      <w:pPr>
        <w:shd w:val="clear" w:color="auto" w:fill="FFFFFF"/>
        <w:spacing w:after="0" w:line="240" w:lineRule="auto"/>
        <w:ind w:left="1080"/>
        <w:textAlignment w:val="baseline"/>
        <w:rPr>
          <w:rFonts w:ascii="Times New Roman" w:eastAsia="Times New Roman" w:hAnsi="Times New Roman" w:cs="Times New Roman"/>
          <w:b/>
          <w:sz w:val="24"/>
          <w:szCs w:val="24"/>
        </w:rPr>
      </w:pPr>
    </w:p>
    <w:p w14:paraId="178141D5" w14:textId="77777777" w:rsidR="007367B0" w:rsidRPr="007367B0" w:rsidRDefault="007367B0" w:rsidP="007367B0">
      <w:pPr>
        <w:shd w:val="clear" w:color="auto" w:fill="FFFFFF"/>
        <w:spacing w:after="0" w:line="240" w:lineRule="auto"/>
        <w:ind w:left="1080"/>
        <w:textAlignment w:val="baseline"/>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t xml:space="preserve"> Features of this plan are that it would only apply to the wealthiest .01% of </w:t>
      </w:r>
    </w:p>
    <w:p w14:paraId="54C7400D" w14:textId="77777777" w:rsidR="007367B0" w:rsidRPr="007367B0" w:rsidRDefault="007367B0" w:rsidP="007367B0">
      <w:pPr>
        <w:shd w:val="clear" w:color="auto" w:fill="FFFFFF"/>
        <w:spacing w:after="0" w:line="240" w:lineRule="auto"/>
        <w:ind w:left="1080"/>
        <w:textAlignment w:val="baseline"/>
        <w:rPr>
          <w:rFonts w:ascii="Times New Roman" w:eastAsia="Times New Roman" w:hAnsi="Times New Roman" w:cs="Times New Roman"/>
          <w:sz w:val="24"/>
          <w:szCs w:val="24"/>
        </w:rPr>
      </w:pPr>
    </w:p>
    <w:p w14:paraId="7AF10AFC" w14:textId="77777777" w:rsidR="007367B0" w:rsidRPr="007367B0" w:rsidRDefault="007367B0" w:rsidP="007367B0">
      <w:pPr>
        <w:shd w:val="clear" w:color="auto" w:fill="FFFFFF"/>
        <w:spacing w:after="0" w:line="240" w:lineRule="auto"/>
        <w:ind w:left="1080"/>
        <w:textAlignment w:val="baseline"/>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t xml:space="preserve">Americans, roughly 75,000 households.  Thresholds:  2% annual tax on net worth </w:t>
      </w:r>
    </w:p>
    <w:p w14:paraId="0C3F64B4" w14:textId="77777777" w:rsidR="007367B0" w:rsidRPr="007367B0" w:rsidRDefault="007367B0" w:rsidP="007367B0">
      <w:pPr>
        <w:shd w:val="clear" w:color="auto" w:fill="FFFFFF"/>
        <w:spacing w:after="0" w:line="240" w:lineRule="auto"/>
        <w:ind w:left="1080"/>
        <w:textAlignment w:val="baseline"/>
        <w:rPr>
          <w:rFonts w:ascii="Times New Roman" w:eastAsia="Times New Roman" w:hAnsi="Times New Roman" w:cs="Times New Roman"/>
          <w:sz w:val="24"/>
          <w:szCs w:val="24"/>
        </w:rPr>
      </w:pPr>
    </w:p>
    <w:p w14:paraId="77070A4E" w14:textId="77777777" w:rsidR="007367B0" w:rsidRPr="007367B0" w:rsidRDefault="007367B0" w:rsidP="007367B0">
      <w:pPr>
        <w:shd w:val="clear" w:color="auto" w:fill="FFFFFF"/>
        <w:spacing w:after="0" w:line="240" w:lineRule="auto"/>
        <w:ind w:left="1080"/>
        <w:textAlignment w:val="baseline"/>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t xml:space="preserve">above $50 million and a 3% annual tax on net worth above $1 billion.  Warren’s </w:t>
      </w:r>
    </w:p>
    <w:p w14:paraId="64234606" w14:textId="77777777" w:rsidR="007367B0" w:rsidRPr="007367B0" w:rsidRDefault="007367B0" w:rsidP="007367B0">
      <w:pPr>
        <w:shd w:val="clear" w:color="auto" w:fill="FFFFFF"/>
        <w:spacing w:after="0" w:line="240" w:lineRule="auto"/>
        <w:ind w:left="1080"/>
        <w:textAlignment w:val="baseline"/>
        <w:rPr>
          <w:rFonts w:ascii="Times New Roman" w:eastAsia="Times New Roman" w:hAnsi="Times New Roman" w:cs="Times New Roman"/>
          <w:sz w:val="24"/>
          <w:szCs w:val="24"/>
        </w:rPr>
      </w:pPr>
    </w:p>
    <w:p w14:paraId="38423F67" w14:textId="77777777" w:rsidR="007367B0" w:rsidRPr="007367B0" w:rsidRDefault="007367B0" w:rsidP="007367B0">
      <w:pPr>
        <w:shd w:val="clear" w:color="auto" w:fill="FFFFFF"/>
        <w:spacing w:after="0" w:line="240" w:lineRule="auto"/>
        <w:ind w:left="1080"/>
        <w:textAlignment w:val="baseline"/>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t xml:space="preserve">campaign estimates that the tax would raise approximately $2.75 trillion over a ten </w:t>
      </w:r>
    </w:p>
    <w:p w14:paraId="6087297C" w14:textId="77777777" w:rsidR="007367B0" w:rsidRPr="007367B0" w:rsidRDefault="007367B0" w:rsidP="007367B0">
      <w:pPr>
        <w:shd w:val="clear" w:color="auto" w:fill="FFFFFF"/>
        <w:spacing w:after="0" w:line="240" w:lineRule="auto"/>
        <w:ind w:left="1080"/>
        <w:textAlignment w:val="baseline"/>
        <w:rPr>
          <w:rFonts w:ascii="Times New Roman" w:eastAsia="Times New Roman" w:hAnsi="Times New Roman" w:cs="Times New Roman"/>
          <w:sz w:val="24"/>
          <w:szCs w:val="24"/>
        </w:rPr>
      </w:pPr>
    </w:p>
    <w:p w14:paraId="3C4F566F" w14:textId="77777777" w:rsidR="007367B0" w:rsidRPr="007367B0" w:rsidRDefault="007367B0" w:rsidP="007367B0">
      <w:pPr>
        <w:shd w:val="clear" w:color="auto" w:fill="FFFFFF"/>
        <w:spacing w:after="0" w:line="240" w:lineRule="auto"/>
        <w:ind w:left="1080"/>
        <w:textAlignment w:val="baseline"/>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t xml:space="preserve">year period. Funds would be used for Child care and early education and </w:t>
      </w:r>
    </w:p>
    <w:p w14:paraId="4AB3B8BD" w14:textId="77777777" w:rsidR="007367B0" w:rsidRPr="007367B0" w:rsidRDefault="007367B0" w:rsidP="007367B0">
      <w:pPr>
        <w:shd w:val="clear" w:color="auto" w:fill="FFFFFF"/>
        <w:spacing w:after="0" w:line="240" w:lineRule="auto"/>
        <w:ind w:left="1080"/>
        <w:textAlignment w:val="baseline"/>
        <w:rPr>
          <w:rFonts w:ascii="Times New Roman" w:eastAsia="Times New Roman" w:hAnsi="Times New Roman" w:cs="Times New Roman"/>
          <w:color w:val="000000"/>
          <w:sz w:val="24"/>
          <w:szCs w:val="24"/>
        </w:rPr>
      </w:pPr>
      <w:r w:rsidRPr="007367B0">
        <w:rPr>
          <w:rFonts w:ascii="Times New Roman" w:eastAsia="Times New Roman" w:hAnsi="Times New Roman" w:cs="Times New Roman"/>
          <w:sz w:val="24"/>
          <w:szCs w:val="24"/>
        </w:rPr>
        <w:t xml:space="preserve">infrastructure. </w:t>
      </w:r>
    </w:p>
    <w:p w14:paraId="6BC31162" w14:textId="77777777" w:rsidR="007367B0" w:rsidRPr="007367B0" w:rsidRDefault="007367B0" w:rsidP="007367B0">
      <w:pPr>
        <w:numPr>
          <w:ilvl w:val="0"/>
          <w:numId w:val="8"/>
        </w:num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367B0">
        <w:rPr>
          <w:rFonts w:ascii="Times New Roman" w:eastAsia="Times New Roman" w:hAnsi="Times New Roman" w:cs="Times New Roman"/>
          <w:b/>
          <w:bCs/>
          <w:sz w:val="27"/>
          <w:szCs w:val="27"/>
        </w:rPr>
        <w:t xml:space="preserve"> Senator Sanders Proposal:  </w:t>
      </w:r>
      <w:r w:rsidRPr="007367B0">
        <w:rPr>
          <w:rFonts w:ascii="Times New Roman" w:eastAsia="Times New Roman" w:hAnsi="Times New Roman" w:cs="Times New Roman"/>
          <w:sz w:val="24"/>
          <w:szCs w:val="24"/>
        </w:rPr>
        <w:t xml:space="preserve">Bernie Sanders has proposed a bold and </w:t>
      </w:r>
    </w:p>
    <w:p w14:paraId="357EDDEE" w14:textId="77777777" w:rsidR="007367B0" w:rsidRPr="007367B0" w:rsidRDefault="007367B0" w:rsidP="007367B0">
      <w:pPr>
        <w:spacing w:before="100" w:beforeAutospacing="1" w:after="100" w:afterAutospacing="1" w:line="240" w:lineRule="auto"/>
        <w:outlineLvl w:val="2"/>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t xml:space="preserve">progressive wealth tax otherwise known as the “Extreme Wealth Tax” aimed at curbing extreme </w:t>
      </w:r>
    </w:p>
    <w:p w14:paraId="5F14BAB7" w14:textId="77777777" w:rsidR="007367B0" w:rsidRPr="007367B0" w:rsidRDefault="007367B0" w:rsidP="007367B0">
      <w:pPr>
        <w:spacing w:before="100" w:beforeAutospacing="1" w:after="100" w:afterAutospacing="1" w:line="240" w:lineRule="auto"/>
        <w:outlineLvl w:val="2"/>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t xml:space="preserve">inequality and generating revenue from the richest Americans. The key elements of the Extreme </w:t>
      </w:r>
    </w:p>
    <w:p w14:paraId="394BF4B8" w14:textId="77777777" w:rsidR="007367B0" w:rsidRPr="007367B0" w:rsidRDefault="007367B0" w:rsidP="007367B0">
      <w:pPr>
        <w:spacing w:before="100" w:beforeAutospacing="1" w:after="100" w:afterAutospacing="1" w:line="240" w:lineRule="auto"/>
        <w:outlineLvl w:val="2"/>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t>Wealth Plan are as follows:</w:t>
      </w:r>
    </w:p>
    <w:p w14:paraId="31F80273" w14:textId="77777777" w:rsidR="007367B0" w:rsidRPr="007367B0" w:rsidRDefault="007367B0" w:rsidP="007367B0">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lastRenderedPageBreak/>
        <w:t xml:space="preserve"> This annual tax would target the top 0.1% of household </w:t>
      </w:r>
      <w:r w:rsidRPr="007367B0">
        <w:rPr>
          <w:rFonts w:ascii="Times New Roman" w:eastAsia="Times New Roman" w:hAnsi="Times New Roman" w:cs="Times New Roman"/>
          <w:bCs/>
          <w:sz w:val="24"/>
          <w:szCs w:val="24"/>
        </w:rPr>
        <w:t>begin at 1%</w:t>
      </w:r>
      <w:r w:rsidRPr="007367B0">
        <w:rPr>
          <w:rFonts w:ascii="Times New Roman" w:eastAsia="Times New Roman" w:hAnsi="Times New Roman" w:cs="Times New Roman"/>
          <w:sz w:val="24"/>
          <w:szCs w:val="24"/>
        </w:rPr>
        <w:t xml:space="preserve"> on net worth </w:t>
      </w:r>
    </w:p>
    <w:p w14:paraId="1282B3D2" w14:textId="77777777" w:rsidR="007367B0" w:rsidRPr="007367B0" w:rsidRDefault="007367B0" w:rsidP="007367B0">
      <w:pPr>
        <w:spacing w:before="100" w:beforeAutospacing="1" w:after="100" w:afterAutospacing="1" w:line="240" w:lineRule="auto"/>
        <w:ind w:left="900"/>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t xml:space="preserve">above </w:t>
      </w:r>
      <w:r w:rsidRPr="007367B0">
        <w:rPr>
          <w:rFonts w:ascii="Times New Roman" w:eastAsia="Times New Roman" w:hAnsi="Times New Roman" w:cs="Times New Roman"/>
          <w:bCs/>
          <w:sz w:val="24"/>
          <w:szCs w:val="24"/>
        </w:rPr>
        <w:t>$32 million</w:t>
      </w:r>
      <w:r w:rsidRPr="007367B0">
        <w:rPr>
          <w:rFonts w:ascii="Times New Roman" w:eastAsia="Times New Roman" w:hAnsi="Times New Roman" w:cs="Times New Roman"/>
          <w:sz w:val="24"/>
          <w:szCs w:val="24"/>
        </w:rPr>
        <w:t xml:space="preserve"> (for married couples) and would </w:t>
      </w:r>
      <w:r w:rsidRPr="007367B0">
        <w:rPr>
          <w:rFonts w:ascii="Times New Roman" w:eastAsia="Times New Roman" w:hAnsi="Times New Roman" w:cs="Times New Roman"/>
          <w:bCs/>
          <w:sz w:val="24"/>
          <w:szCs w:val="24"/>
        </w:rPr>
        <w:t>increase progressively</w:t>
      </w:r>
      <w:r w:rsidRPr="007367B0">
        <w:rPr>
          <w:rFonts w:ascii="Times New Roman" w:eastAsia="Times New Roman" w:hAnsi="Times New Roman" w:cs="Times New Roman"/>
          <w:sz w:val="24"/>
          <w:szCs w:val="24"/>
        </w:rPr>
        <w:t xml:space="preserve"> up to </w:t>
      </w:r>
      <w:r w:rsidRPr="007367B0">
        <w:rPr>
          <w:rFonts w:ascii="Times New Roman" w:eastAsia="Times New Roman" w:hAnsi="Times New Roman" w:cs="Times New Roman"/>
          <w:bCs/>
          <w:sz w:val="24"/>
          <w:szCs w:val="24"/>
        </w:rPr>
        <w:t>8%</w:t>
      </w:r>
      <w:r w:rsidRPr="007367B0">
        <w:rPr>
          <w:rFonts w:ascii="Times New Roman" w:eastAsia="Times New Roman" w:hAnsi="Times New Roman" w:cs="Times New Roman"/>
          <w:sz w:val="24"/>
          <w:szCs w:val="24"/>
        </w:rPr>
        <w:t xml:space="preserve"> </w:t>
      </w:r>
    </w:p>
    <w:p w14:paraId="3B39420D" w14:textId="77777777" w:rsidR="007367B0" w:rsidRPr="007367B0" w:rsidRDefault="007367B0" w:rsidP="007367B0">
      <w:pPr>
        <w:spacing w:before="100" w:beforeAutospacing="1" w:after="100" w:afterAutospacing="1" w:line="240" w:lineRule="auto"/>
        <w:ind w:left="900"/>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t xml:space="preserve">on wealth above </w:t>
      </w:r>
      <w:r w:rsidRPr="007367B0">
        <w:rPr>
          <w:rFonts w:ascii="Times New Roman" w:eastAsia="Times New Roman" w:hAnsi="Times New Roman" w:cs="Times New Roman"/>
          <w:bCs/>
          <w:sz w:val="24"/>
          <w:szCs w:val="24"/>
        </w:rPr>
        <w:t>$10 billion.</w:t>
      </w:r>
      <w:r w:rsidRPr="007367B0">
        <w:rPr>
          <w:rFonts w:ascii="Times New Roman" w:eastAsia="Times New Roman" w:hAnsi="Times New Roman" w:cs="Times New Roman"/>
          <w:b/>
          <w:bCs/>
          <w:sz w:val="24"/>
          <w:szCs w:val="24"/>
        </w:rPr>
        <w:t xml:space="preserve">  </w:t>
      </w:r>
      <w:r w:rsidRPr="007367B0">
        <w:rPr>
          <w:rFonts w:ascii="Times New Roman" w:eastAsia="Times New Roman" w:hAnsi="Times New Roman" w:cs="Times New Roman"/>
          <w:bCs/>
          <w:sz w:val="24"/>
          <w:szCs w:val="24"/>
        </w:rPr>
        <w:t>This particular tax would</w:t>
      </w:r>
      <w:r w:rsidRPr="007367B0">
        <w:rPr>
          <w:rFonts w:ascii="Times New Roman" w:eastAsia="Times New Roman" w:hAnsi="Times New Roman" w:cs="Times New Roman"/>
          <w:b/>
          <w:bCs/>
          <w:sz w:val="24"/>
          <w:szCs w:val="24"/>
        </w:rPr>
        <w:t xml:space="preserve"> </w:t>
      </w:r>
      <w:r w:rsidRPr="007367B0">
        <w:rPr>
          <w:rFonts w:ascii="Times New Roman" w:eastAsia="Times New Roman" w:hAnsi="Times New Roman" w:cs="Times New Roman"/>
          <w:sz w:val="24"/>
          <w:szCs w:val="24"/>
        </w:rPr>
        <w:t xml:space="preserve"> Apply to all assets, </w:t>
      </w:r>
    </w:p>
    <w:p w14:paraId="1EA7C07F" w14:textId="77777777" w:rsidR="007367B0" w:rsidRPr="007367B0" w:rsidRDefault="007367B0" w:rsidP="007367B0">
      <w:pPr>
        <w:spacing w:before="100" w:beforeAutospacing="1" w:after="100" w:afterAutospacing="1" w:line="240" w:lineRule="auto"/>
        <w:ind w:left="900"/>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t xml:space="preserve">including stocks, real estate, and private businesses, even if not sold or transferred. The </w:t>
      </w:r>
    </w:p>
    <w:p w14:paraId="24907E76" w14:textId="77777777" w:rsidR="007367B0" w:rsidRPr="007367B0" w:rsidRDefault="007367B0" w:rsidP="007367B0">
      <w:pPr>
        <w:spacing w:before="100" w:beforeAutospacing="1" w:after="100" w:afterAutospacing="1" w:line="240" w:lineRule="auto"/>
        <w:ind w:left="900"/>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t xml:space="preserve">IRS would assess net worth annually, with special appraisal rules for hard-to-value </w:t>
      </w:r>
    </w:p>
    <w:p w14:paraId="565042CB" w14:textId="77777777" w:rsidR="007367B0" w:rsidRPr="007367B0" w:rsidRDefault="007367B0" w:rsidP="007367B0">
      <w:pPr>
        <w:spacing w:before="100" w:beforeAutospacing="1" w:after="100" w:afterAutospacing="1" w:line="240" w:lineRule="auto"/>
        <w:ind w:left="900"/>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t xml:space="preserve">assets.  Sanders’ plan also seeks to reform the estate tax system, which is the part of his </w:t>
      </w:r>
    </w:p>
    <w:p w14:paraId="601F3BFD" w14:textId="77777777" w:rsidR="007367B0" w:rsidRPr="007367B0" w:rsidRDefault="007367B0" w:rsidP="007367B0">
      <w:pPr>
        <w:spacing w:before="100" w:beforeAutospacing="1" w:after="100" w:afterAutospacing="1" w:line="240" w:lineRule="auto"/>
        <w:ind w:left="900"/>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t xml:space="preserve">proposal which focuses upon inherited wealth.  The first $3.5 million of an individual’s </w:t>
      </w:r>
    </w:p>
    <w:p w14:paraId="294D3560" w14:textId="77777777" w:rsidR="007367B0" w:rsidRPr="007367B0" w:rsidRDefault="007367B0" w:rsidP="007367B0">
      <w:pPr>
        <w:spacing w:before="100" w:beforeAutospacing="1" w:after="100" w:afterAutospacing="1" w:line="240" w:lineRule="auto"/>
        <w:ind w:left="900"/>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t xml:space="preserve">estate ($7 million for married couples) would be exempt.  The estate tax changes would </w:t>
      </w:r>
    </w:p>
    <w:p w14:paraId="12055CE6" w14:textId="77777777" w:rsidR="007367B0" w:rsidRPr="007367B0" w:rsidRDefault="007367B0" w:rsidP="007367B0">
      <w:pPr>
        <w:spacing w:before="100" w:beforeAutospacing="1" w:after="100" w:afterAutospacing="1" w:line="240" w:lineRule="auto"/>
        <w:ind w:left="900"/>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t xml:space="preserve">estimate to raise $430 million by 2031 by taxing large inheritances more aggressively.  </w:t>
      </w:r>
    </w:p>
    <w:p w14:paraId="72C99FCB" w14:textId="77777777" w:rsidR="007367B0" w:rsidRPr="007367B0" w:rsidRDefault="007367B0" w:rsidP="007367B0">
      <w:pPr>
        <w:spacing w:before="100" w:beforeAutospacing="1" w:after="100" w:afterAutospacing="1" w:line="240" w:lineRule="auto"/>
        <w:ind w:left="900"/>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t>Sanders’s wealth tax plan is estimated to raise $4.35 trillion over a decade.</w:t>
      </w:r>
    </w:p>
    <w:p w14:paraId="3C043073" w14:textId="77777777" w:rsidR="007367B0" w:rsidRPr="007367B0" w:rsidRDefault="007367B0" w:rsidP="007367B0">
      <w:pPr>
        <w:spacing w:before="100" w:beforeAutospacing="1" w:after="100" w:afterAutospacing="1" w:line="240" w:lineRule="auto"/>
        <w:ind w:left="900"/>
        <w:rPr>
          <w:rFonts w:ascii="Times New Roman" w:eastAsia="Times New Roman" w:hAnsi="Times New Roman" w:cs="Times New Roman"/>
          <w:sz w:val="24"/>
          <w:szCs w:val="24"/>
        </w:rPr>
      </w:pPr>
    </w:p>
    <w:p w14:paraId="07C36F71" w14:textId="77777777" w:rsidR="007367B0" w:rsidRPr="007367B0" w:rsidRDefault="007367B0" w:rsidP="007367B0">
      <w:pPr>
        <w:spacing w:before="100" w:beforeAutospacing="1" w:after="100" w:afterAutospacing="1" w:line="240" w:lineRule="auto"/>
        <w:ind w:left="900"/>
        <w:rPr>
          <w:rFonts w:ascii="Times New Roman" w:eastAsia="Times New Roman" w:hAnsi="Times New Roman" w:cs="Times New Roman"/>
          <w:b/>
          <w:sz w:val="24"/>
          <w:szCs w:val="24"/>
        </w:rPr>
      </w:pPr>
      <w:r w:rsidRPr="007367B0">
        <w:rPr>
          <w:rFonts w:ascii="Times New Roman" w:eastAsia="Times New Roman" w:hAnsi="Times New Roman" w:cs="Times New Roman"/>
          <w:b/>
          <w:sz w:val="24"/>
          <w:szCs w:val="24"/>
        </w:rPr>
        <w:t xml:space="preserve">                                              CONCLUSION</w:t>
      </w:r>
    </w:p>
    <w:p w14:paraId="6F96F659" w14:textId="77777777" w:rsidR="007367B0" w:rsidRPr="007367B0" w:rsidRDefault="007367B0" w:rsidP="007367B0">
      <w:pPr>
        <w:spacing w:before="100" w:beforeAutospacing="1" w:after="100" w:afterAutospacing="1" w:line="240" w:lineRule="auto"/>
        <w:ind w:left="900"/>
        <w:rPr>
          <w:rFonts w:ascii="Times New Roman" w:eastAsia="Times New Roman" w:hAnsi="Times New Roman" w:cs="Times New Roman"/>
          <w:sz w:val="24"/>
          <w:szCs w:val="24"/>
        </w:rPr>
      </w:pPr>
      <w:r w:rsidRPr="007367B0">
        <w:rPr>
          <w:rFonts w:ascii="Times New Roman" w:eastAsia="Times New Roman" w:hAnsi="Times New Roman" w:cs="Times New Roman"/>
          <w:b/>
          <w:sz w:val="24"/>
          <w:szCs w:val="24"/>
        </w:rPr>
        <w:tab/>
      </w:r>
      <w:r w:rsidRPr="007367B0">
        <w:rPr>
          <w:rFonts w:ascii="Times New Roman" w:eastAsia="Times New Roman" w:hAnsi="Times New Roman" w:cs="Times New Roman"/>
          <w:sz w:val="24"/>
          <w:szCs w:val="24"/>
        </w:rPr>
        <w:t xml:space="preserve">The Supreme Court validated the constitutionality of the MRT with its decision in </w:t>
      </w:r>
    </w:p>
    <w:p w14:paraId="0D75AC4C" w14:textId="77777777" w:rsidR="007367B0" w:rsidRPr="007367B0" w:rsidRDefault="007367B0" w:rsidP="007367B0">
      <w:pPr>
        <w:spacing w:before="100" w:beforeAutospacing="1" w:after="100" w:afterAutospacing="1" w:line="240" w:lineRule="auto"/>
        <w:ind w:left="900"/>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t xml:space="preserve">US v. Moore, which has essentially authorized a tax on undistributed income. There is </w:t>
      </w:r>
    </w:p>
    <w:p w14:paraId="765F8BBD" w14:textId="77777777" w:rsidR="007367B0" w:rsidRPr="007367B0" w:rsidRDefault="007367B0" w:rsidP="007367B0">
      <w:pPr>
        <w:spacing w:before="100" w:beforeAutospacing="1" w:after="100" w:afterAutospacing="1" w:line="240" w:lineRule="auto"/>
        <w:ind w:left="900"/>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t xml:space="preserve">some thought that this line of reasoning could eventually lead to the imposition of a </w:t>
      </w:r>
    </w:p>
    <w:p w14:paraId="4A80D156" w14:textId="77777777" w:rsidR="007367B0" w:rsidRPr="007367B0" w:rsidRDefault="007367B0" w:rsidP="007367B0">
      <w:pPr>
        <w:spacing w:before="100" w:beforeAutospacing="1" w:after="100" w:afterAutospacing="1" w:line="240" w:lineRule="auto"/>
        <w:ind w:left="900"/>
        <w:rPr>
          <w:rFonts w:ascii="Times New Roman" w:eastAsia="Times New Roman" w:hAnsi="Times New Roman" w:cs="Times New Roman"/>
          <w:sz w:val="24"/>
          <w:szCs w:val="24"/>
        </w:rPr>
      </w:pPr>
      <w:r w:rsidRPr="007367B0">
        <w:rPr>
          <w:rFonts w:ascii="Times New Roman" w:eastAsia="Times New Roman" w:hAnsi="Times New Roman" w:cs="Times New Roman"/>
          <w:sz w:val="24"/>
          <w:szCs w:val="24"/>
        </w:rPr>
        <w:t>wealth tax.</w:t>
      </w:r>
    </w:p>
    <w:p w14:paraId="0ACBD393" w14:textId="77777777" w:rsidR="007367B0" w:rsidRPr="00573554" w:rsidRDefault="007367B0" w:rsidP="003F5942">
      <w:pPr>
        <w:ind w:left="720" w:firstLine="720"/>
        <w:rPr>
          <w:rFonts w:ascii="Times New Roman" w:eastAsia="Calibri" w:hAnsi="Times New Roman" w:cs="Times New Roman"/>
          <w:b/>
          <w:sz w:val="24"/>
          <w:szCs w:val="24"/>
        </w:rPr>
      </w:pPr>
    </w:p>
    <w:p w14:paraId="127DA023" w14:textId="29777291" w:rsidR="000E1E70" w:rsidRPr="00573554" w:rsidRDefault="00731FCD" w:rsidP="003F5942">
      <w:pPr>
        <w:spacing w:after="0" w:line="240" w:lineRule="auto"/>
        <w:ind w:firstLine="720"/>
        <w:jc w:val="center"/>
        <w:rPr>
          <w:rFonts w:ascii="Times New Roman" w:eastAsia="Calibri" w:hAnsi="Times New Roman" w:cs="Times New Roman"/>
          <w:b/>
          <w:sz w:val="24"/>
          <w:szCs w:val="24"/>
        </w:rPr>
      </w:pPr>
      <w:r w:rsidRPr="00573554">
        <w:rPr>
          <w:rFonts w:ascii="Times New Roman" w:eastAsia="Calibri" w:hAnsi="Times New Roman" w:cs="Times New Roman"/>
          <w:b/>
          <w:sz w:val="24"/>
          <w:szCs w:val="24"/>
        </w:rPr>
        <w:t>ABSTRACT</w:t>
      </w:r>
    </w:p>
    <w:p w14:paraId="3D8CDBE1" w14:textId="77777777" w:rsidR="000E1E70" w:rsidRPr="00573554" w:rsidRDefault="000E1E70" w:rsidP="003F5942">
      <w:pPr>
        <w:spacing w:after="0" w:line="240" w:lineRule="auto"/>
        <w:ind w:left="1440"/>
        <w:jc w:val="both"/>
        <w:rPr>
          <w:rFonts w:ascii="Times New Roman" w:eastAsia="Calibri" w:hAnsi="Times New Roman" w:cs="Times New Roman"/>
          <w:bCs/>
          <w:sz w:val="24"/>
          <w:szCs w:val="24"/>
        </w:rPr>
      </w:pPr>
      <w:r w:rsidRPr="00573554">
        <w:rPr>
          <w:rFonts w:ascii="Times New Roman" w:eastAsia="Calibri" w:hAnsi="Times New Roman" w:cs="Times New Roman"/>
          <w:bCs/>
          <w:sz w:val="24"/>
          <w:szCs w:val="24"/>
        </w:rPr>
        <w:t>The mandatory repatriation tax (“MRT”) was created under the provisions of the 2017 Tax Cuts and Jobs Act to require U.S. shareholders owning 10% or more of controlled foreign corporations to report and pay tax on their pro rata share of income, even if the company’s earnings were not distributed.  The United States Supreme Court recently issued a decision in an important case, Moore v. United States, which determined that the MRT is constitutional under the Sixteenth Amendment.  This paper will analyze the constitutionality of the MRT and the Supreme Court decision which affirmed the MRT along with the possible imposition of a wealth tax.</w:t>
      </w:r>
    </w:p>
    <w:p w14:paraId="5FDC1F87" w14:textId="77777777" w:rsidR="000E1E70" w:rsidRPr="00573554" w:rsidRDefault="000E1E70" w:rsidP="000E1E70">
      <w:pPr>
        <w:spacing w:after="0" w:line="240" w:lineRule="auto"/>
        <w:jc w:val="both"/>
        <w:rPr>
          <w:rFonts w:ascii="Times New Roman" w:eastAsia="Calibri" w:hAnsi="Times New Roman" w:cs="Times New Roman"/>
          <w:bCs/>
          <w:sz w:val="24"/>
          <w:szCs w:val="24"/>
        </w:rPr>
      </w:pPr>
    </w:p>
    <w:p w14:paraId="1AB26140" w14:textId="77777777" w:rsidR="000E1E70" w:rsidRPr="00573554" w:rsidRDefault="000E1E70" w:rsidP="000E1E70">
      <w:pPr>
        <w:spacing w:after="0" w:line="240" w:lineRule="auto"/>
        <w:jc w:val="both"/>
        <w:rPr>
          <w:rFonts w:ascii="Times New Roman" w:eastAsia="Calibri" w:hAnsi="Times New Roman" w:cs="Times New Roman"/>
          <w:bCs/>
          <w:sz w:val="24"/>
          <w:szCs w:val="24"/>
        </w:rPr>
      </w:pPr>
    </w:p>
    <w:p w14:paraId="1A9BE901" w14:textId="2F48BB16" w:rsidR="00852CBC" w:rsidRPr="00573554" w:rsidRDefault="004E40EA" w:rsidP="00852CBC">
      <w:pPr>
        <w:ind w:left="720"/>
        <w:rPr>
          <w:rFonts w:ascii="Times New Roman" w:eastAsia="Calibri" w:hAnsi="Times New Roman" w:cs="Times New Roman"/>
          <w:bCs/>
          <w:sz w:val="24"/>
          <w:szCs w:val="24"/>
          <w:u w:val="single"/>
        </w:rPr>
      </w:pPr>
      <w:r w:rsidRPr="00573554">
        <w:rPr>
          <w:rFonts w:ascii="Times New Roman" w:hAnsi="Times New Roman" w:cs="Times New Roman"/>
          <w:sz w:val="24"/>
          <w:szCs w:val="24"/>
          <w:u w:val="single"/>
        </w:rPr>
        <w:lastRenderedPageBreak/>
        <w:t>4:</w:t>
      </w:r>
      <w:r w:rsidR="00E43F80" w:rsidRPr="00573554">
        <w:rPr>
          <w:rFonts w:ascii="Times New Roman" w:hAnsi="Times New Roman" w:cs="Times New Roman"/>
          <w:sz w:val="24"/>
          <w:szCs w:val="24"/>
          <w:u w:val="single"/>
        </w:rPr>
        <w:t>45</w:t>
      </w:r>
      <w:r w:rsidRPr="00573554">
        <w:rPr>
          <w:rFonts w:ascii="Times New Roman" w:hAnsi="Times New Roman" w:cs="Times New Roman"/>
          <w:sz w:val="24"/>
          <w:szCs w:val="24"/>
          <w:u w:val="single"/>
        </w:rPr>
        <w:t xml:space="preserve"> </w:t>
      </w:r>
      <w:r w:rsidR="001D28CF" w:rsidRPr="00573554">
        <w:rPr>
          <w:rFonts w:ascii="Times New Roman" w:hAnsi="Times New Roman" w:cs="Times New Roman"/>
          <w:sz w:val="24"/>
          <w:szCs w:val="24"/>
          <w:u w:val="single"/>
        </w:rPr>
        <w:t>–</w:t>
      </w:r>
      <w:r w:rsidRPr="00573554">
        <w:rPr>
          <w:rFonts w:ascii="Times New Roman" w:hAnsi="Times New Roman" w:cs="Times New Roman"/>
          <w:sz w:val="24"/>
          <w:szCs w:val="24"/>
          <w:u w:val="single"/>
        </w:rPr>
        <w:t xml:space="preserve"> </w:t>
      </w:r>
      <w:r w:rsidR="001D28CF" w:rsidRPr="00573554">
        <w:rPr>
          <w:rFonts w:ascii="Times New Roman" w:hAnsi="Times New Roman" w:cs="Times New Roman"/>
          <w:sz w:val="24"/>
          <w:szCs w:val="24"/>
          <w:u w:val="single"/>
        </w:rPr>
        <w:t>5:</w:t>
      </w:r>
      <w:r w:rsidR="00E43F80" w:rsidRPr="00573554">
        <w:rPr>
          <w:rFonts w:ascii="Times New Roman" w:hAnsi="Times New Roman" w:cs="Times New Roman"/>
          <w:sz w:val="24"/>
          <w:szCs w:val="24"/>
          <w:u w:val="single"/>
        </w:rPr>
        <w:t>15</w:t>
      </w:r>
      <w:r w:rsidR="00852CBC" w:rsidRPr="00573554">
        <w:rPr>
          <w:rFonts w:ascii="Times New Roman" w:eastAsia="Calibri" w:hAnsi="Times New Roman" w:cs="Times New Roman"/>
          <w:bCs/>
          <w:sz w:val="24"/>
          <w:szCs w:val="24"/>
          <w:u w:val="single"/>
        </w:rPr>
        <w:t xml:space="preserve"> Raymond Keener and Tom Norton, Marsahall University, Presented by Raymond Keener                        </w:t>
      </w:r>
    </w:p>
    <w:p w14:paraId="34B2B5C3" w14:textId="77777777" w:rsidR="00DF23EB" w:rsidRPr="00DF23EB" w:rsidRDefault="00DF23EB" w:rsidP="00DF23EB">
      <w:pPr>
        <w:spacing w:after="0" w:line="240" w:lineRule="auto"/>
        <w:jc w:val="both"/>
        <w:rPr>
          <w:rFonts w:ascii="Times New Roman" w:eastAsia="Calibri" w:hAnsi="Times New Roman" w:cs="Times New Roman"/>
          <w:b/>
          <w:sz w:val="32"/>
          <w:szCs w:val="32"/>
        </w:rPr>
      </w:pPr>
      <w:r w:rsidRPr="00DF23EB">
        <w:rPr>
          <w:rFonts w:ascii="Times New Roman" w:eastAsia="Calibri" w:hAnsi="Times New Roman" w:cs="Times New Roman"/>
          <w:b/>
          <w:sz w:val="32"/>
          <w:szCs w:val="32"/>
        </w:rPr>
        <w:t xml:space="preserve">                   Raymond Keener, III, JD, CPA, LLM     </w:t>
      </w:r>
    </w:p>
    <w:p w14:paraId="46F3C7C4" w14:textId="77777777" w:rsidR="00DF23EB" w:rsidRPr="00DF23EB" w:rsidRDefault="00DF23EB" w:rsidP="00DF23EB">
      <w:pPr>
        <w:spacing w:after="0" w:line="240" w:lineRule="auto"/>
        <w:jc w:val="both"/>
        <w:rPr>
          <w:rFonts w:ascii="Times New Roman" w:eastAsia="Calibri" w:hAnsi="Times New Roman" w:cs="Times New Roman"/>
          <w:b/>
          <w:sz w:val="32"/>
          <w:szCs w:val="32"/>
        </w:rPr>
      </w:pPr>
      <w:r w:rsidRPr="00DF23EB">
        <w:rPr>
          <w:rFonts w:ascii="Times New Roman" w:eastAsia="Calibri" w:hAnsi="Times New Roman" w:cs="Times New Roman"/>
          <w:b/>
          <w:sz w:val="32"/>
          <w:szCs w:val="32"/>
        </w:rPr>
        <w:t xml:space="preserve">                         Tom Norton, JD, CPA, LLM</w:t>
      </w:r>
    </w:p>
    <w:p w14:paraId="11438073" w14:textId="77777777" w:rsidR="00DF23EB" w:rsidRPr="00DF23EB" w:rsidRDefault="00DF23EB" w:rsidP="00DF23EB">
      <w:pPr>
        <w:spacing w:after="0" w:line="240" w:lineRule="auto"/>
        <w:jc w:val="both"/>
        <w:rPr>
          <w:rFonts w:ascii="Times New Roman" w:eastAsia="Calibri" w:hAnsi="Times New Roman" w:cs="Times New Roman"/>
          <w:b/>
          <w:sz w:val="32"/>
          <w:szCs w:val="32"/>
        </w:rPr>
      </w:pPr>
      <w:r w:rsidRPr="00DF23EB">
        <w:rPr>
          <w:rFonts w:ascii="Times New Roman" w:eastAsia="Calibri" w:hAnsi="Times New Roman" w:cs="Times New Roman"/>
          <w:b/>
          <w:sz w:val="32"/>
          <w:szCs w:val="32"/>
        </w:rPr>
        <w:t xml:space="preserve">                        </w:t>
      </w:r>
    </w:p>
    <w:p w14:paraId="334B26F8" w14:textId="77777777" w:rsidR="00DF23EB" w:rsidRPr="00DF23EB" w:rsidRDefault="00DF23EB" w:rsidP="00DF23EB">
      <w:pPr>
        <w:spacing w:after="0" w:line="240" w:lineRule="auto"/>
        <w:jc w:val="both"/>
        <w:rPr>
          <w:rFonts w:ascii="Times New Roman" w:eastAsia="Calibri" w:hAnsi="Times New Roman" w:cs="Times New Roman"/>
          <w:b/>
          <w:sz w:val="32"/>
          <w:szCs w:val="32"/>
        </w:rPr>
      </w:pPr>
      <w:r w:rsidRPr="00DF23EB">
        <w:rPr>
          <w:rFonts w:ascii="Times New Roman" w:eastAsia="Calibri" w:hAnsi="Times New Roman" w:cs="Times New Roman"/>
          <w:b/>
          <w:sz w:val="32"/>
          <w:szCs w:val="32"/>
        </w:rPr>
        <w:t xml:space="preserve">Corresponding author: Associate Professor of Taxation &amp; Law, Division of Accountancy &amp; Legal Environment, Marshall University, One John Marshall Drive, Huntington, WV 257552675, (304)696-7170,FAX:(304) 696-3662, Email: Keener19@marshall.edu               </w:t>
      </w:r>
    </w:p>
    <w:p w14:paraId="6522BBAD" w14:textId="77777777" w:rsidR="00DF23EB" w:rsidRPr="00DF23EB" w:rsidRDefault="00DF23EB" w:rsidP="00DF23EB">
      <w:pPr>
        <w:spacing w:after="0" w:line="240" w:lineRule="auto"/>
        <w:ind w:left="720"/>
        <w:jc w:val="both"/>
        <w:rPr>
          <w:rFonts w:ascii="Times New Roman" w:eastAsia="Calibri" w:hAnsi="Times New Roman" w:cs="Times New Roman"/>
          <w:b/>
          <w:sz w:val="24"/>
          <w:szCs w:val="24"/>
        </w:rPr>
      </w:pPr>
      <w:r w:rsidRPr="00DF23EB">
        <w:rPr>
          <w:rFonts w:ascii="Times New Roman" w:eastAsia="Calibri" w:hAnsi="Times New Roman" w:cs="Times New Roman"/>
          <w:b/>
          <w:sz w:val="24"/>
          <w:szCs w:val="24"/>
        </w:rPr>
        <w:t xml:space="preserve"> </w:t>
      </w:r>
    </w:p>
    <w:p w14:paraId="0086D5E9" w14:textId="2F379FCC" w:rsidR="00DF23EB" w:rsidRPr="00DF23EB" w:rsidRDefault="00DF23EB" w:rsidP="00DF23EB">
      <w:pPr>
        <w:spacing w:after="0" w:line="240" w:lineRule="auto"/>
        <w:jc w:val="both"/>
        <w:rPr>
          <w:rFonts w:ascii="Times New Roman" w:eastAsia="Calibri" w:hAnsi="Times New Roman" w:cs="Times New Roman"/>
          <w:b/>
          <w:sz w:val="32"/>
          <w:szCs w:val="32"/>
        </w:rPr>
      </w:pPr>
      <w:r w:rsidRPr="00DF23EB">
        <w:rPr>
          <w:rFonts w:ascii="Times New Roman" w:eastAsia="Calibri" w:hAnsi="Times New Roman" w:cs="Times New Roman"/>
          <w:b/>
          <w:sz w:val="32"/>
          <w:szCs w:val="32"/>
        </w:rPr>
        <w:t xml:space="preserve">Corresponding author: Assistant Professor of Taxation &amp; Law, Division of Accountancy &amp; Legal Environment, Marshall University, One John Marshall Drive, Huntington, WV 257552675, (304)696-2670,FAX:(304) 696-3662, Email: Norton7@marshall.edu      </w:t>
      </w:r>
    </w:p>
    <w:p w14:paraId="4FC8FB00" w14:textId="77777777" w:rsidR="00DF23EB" w:rsidRPr="00DF23EB" w:rsidRDefault="00DF23EB" w:rsidP="00DF23EB">
      <w:pPr>
        <w:spacing w:after="0" w:line="240" w:lineRule="auto"/>
        <w:ind w:left="720"/>
        <w:jc w:val="both"/>
        <w:rPr>
          <w:rFonts w:ascii="Times New Roman" w:eastAsia="Calibri" w:hAnsi="Times New Roman" w:cs="Times New Roman"/>
          <w:b/>
          <w:sz w:val="24"/>
          <w:szCs w:val="24"/>
        </w:rPr>
      </w:pPr>
      <w:r w:rsidRPr="00DF23EB">
        <w:rPr>
          <w:rFonts w:ascii="Times New Roman" w:eastAsia="Calibri" w:hAnsi="Times New Roman" w:cs="Times New Roman"/>
          <w:b/>
          <w:sz w:val="24"/>
          <w:szCs w:val="24"/>
        </w:rPr>
        <w:t xml:space="preserve"> </w:t>
      </w:r>
    </w:p>
    <w:p w14:paraId="30D0C001" w14:textId="77777777" w:rsidR="00DF23EB" w:rsidRPr="00DF23EB" w:rsidRDefault="00DF23EB" w:rsidP="00DF23EB">
      <w:pPr>
        <w:spacing w:after="0" w:line="240" w:lineRule="auto"/>
        <w:jc w:val="both"/>
        <w:rPr>
          <w:rFonts w:ascii="Times New Roman" w:eastAsia="Calibri" w:hAnsi="Times New Roman" w:cs="Times New Roman"/>
          <w:b/>
          <w:sz w:val="24"/>
          <w:szCs w:val="24"/>
        </w:rPr>
      </w:pPr>
    </w:p>
    <w:p w14:paraId="5362C30C" w14:textId="77777777" w:rsidR="00DF23EB" w:rsidRPr="00DF23EB" w:rsidRDefault="00DF23EB" w:rsidP="00DF23EB">
      <w:pPr>
        <w:spacing w:after="0" w:line="240" w:lineRule="auto"/>
        <w:jc w:val="both"/>
        <w:rPr>
          <w:rFonts w:ascii="Times New Roman" w:eastAsia="Calibri" w:hAnsi="Times New Roman" w:cs="Times New Roman"/>
          <w:b/>
          <w:sz w:val="32"/>
          <w:szCs w:val="32"/>
        </w:rPr>
      </w:pPr>
      <w:r w:rsidRPr="00DF23EB">
        <w:rPr>
          <w:rFonts w:ascii="Times New Roman" w:eastAsia="Calibri" w:hAnsi="Times New Roman" w:cs="Times New Roman"/>
          <w:b/>
          <w:sz w:val="32"/>
          <w:szCs w:val="32"/>
        </w:rPr>
        <w:t xml:space="preserve">                        An Examination and Survey of the Current </w:t>
      </w:r>
    </w:p>
    <w:p w14:paraId="0EE197A7" w14:textId="77777777" w:rsidR="00DF23EB" w:rsidRPr="00DF23EB" w:rsidRDefault="00DF23EB" w:rsidP="00DF23EB">
      <w:pPr>
        <w:spacing w:after="0" w:line="240" w:lineRule="auto"/>
        <w:jc w:val="both"/>
        <w:rPr>
          <w:rFonts w:ascii="Times New Roman" w:eastAsia="Calibri" w:hAnsi="Times New Roman" w:cs="Times New Roman"/>
          <w:b/>
          <w:sz w:val="32"/>
          <w:szCs w:val="32"/>
        </w:rPr>
      </w:pPr>
      <w:r w:rsidRPr="00DF23EB">
        <w:rPr>
          <w:rFonts w:ascii="Times New Roman" w:eastAsia="Calibri" w:hAnsi="Times New Roman" w:cs="Times New Roman"/>
          <w:b/>
          <w:sz w:val="32"/>
          <w:szCs w:val="32"/>
        </w:rPr>
        <w:t xml:space="preserve">                           State of Tobacco Taxation as well as an </w:t>
      </w:r>
    </w:p>
    <w:p w14:paraId="7F83918B" w14:textId="77777777" w:rsidR="00DF23EB" w:rsidRPr="00DF23EB" w:rsidRDefault="00DF23EB" w:rsidP="00DF23EB">
      <w:pPr>
        <w:spacing w:after="0" w:line="240" w:lineRule="auto"/>
        <w:jc w:val="both"/>
        <w:rPr>
          <w:rFonts w:ascii="Times New Roman" w:eastAsia="Calibri" w:hAnsi="Times New Roman" w:cs="Times New Roman"/>
          <w:b/>
          <w:sz w:val="32"/>
          <w:szCs w:val="32"/>
        </w:rPr>
      </w:pPr>
      <w:r w:rsidRPr="00DF23EB">
        <w:rPr>
          <w:rFonts w:ascii="Times New Roman" w:eastAsia="Calibri" w:hAnsi="Times New Roman" w:cs="Times New Roman"/>
          <w:b/>
          <w:sz w:val="32"/>
          <w:szCs w:val="32"/>
        </w:rPr>
        <w:t xml:space="preserve">                           Analysis of the Tobacco Tax Equity Act</w:t>
      </w:r>
    </w:p>
    <w:p w14:paraId="75738451" w14:textId="77777777" w:rsidR="00DF23EB" w:rsidRPr="00DF23EB" w:rsidRDefault="00DF23EB" w:rsidP="00DF23EB">
      <w:pPr>
        <w:spacing w:after="0" w:line="240" w:lineRule="auto"/>
        <w:jc w:val="both"/>
        <w:rPr>
          <w:rFonts w:ascii="Times New Roman" w:eastAsia="Calibri" w:hAnsi="Times New Roman" w:cs="Times New Roman"/>
          <w:b/>
          <w:sz w:val="24"/>
          <w:szCs w:val="24"/>
        </w:rPr>
      </w:pPr>
    </w:p>
    <w:p w14:paraId="6BA81D52" w14:textId="77777777" w:rsidR="00DF23EB" w:rsidRPr="00DF23EB" w:rsidRDefault="00DF23EB" w:rsidP="00DF23EB">
      <w:pPr>
        <w:spacing w:after="0" w:line="240" w:lineRule="auto"/>
        <w:jc w:val="both"/>
        <w:rPr>
          <w:rFonts w:ascii="Times New Roman" w:eastAsia="Calibri" w:hAnsi="Times New Roman" w:cs="Times New Roman"/>
          <w:b/>
          <w:sz w:val="24"/>
          <w:szCs w:val="24"/>
        </w:rPr>
      </w:pPr>
    </w:p>
    <w:p w14:paraId="318F92EB" w14:textId="77777777" w:rsidR="00DF23EB" w:rsidRPr="00DF23EB" w:rsidRDefault="00DF23EB" w:rsidP="00DF23EB">
      <w:pPr>
        <w:spacing w:after="0" w:line="240" w:lineRule="auto"/>
        <w:jc w:val="both"/>
        <w:rPr>
          <w:rFonts w:ascii="Times New Roman" w:eastAsia="Calibri" w:hAnsi="Times New Roman" w:cs="Times New Roman"/>
          <w:b/>
          <w:sz w:val="24"/>
          <w:szCs w:val="24"/>
        </w:rPr>
      </w:pPr>
    </w:p>
    <w:p w14:paraId="6C040A6C" w14:textId="77777777" w:rsidR="00DF23EB" w:rsidRPr="00DF23EB" w:rsidRDefault="00DF23EB" w:rsidP="00DF23EB">
      <w:pPr>
        <w:spacing w:after="0" w:line="240" w:lineRule="auto"/>
        <w:jc w:val="both"/>
        <w:rPr>
          <w:rFonts w:ascii="Times New Roman" w:eastAsia="Calibri" w:hAnsi="Times New Roman" w:cs="Times New Roman"/>
          <w:b/>
          <w:i/>
          <w:sz w:val="24"/>
          <w:szCs w:val="24"/>
        </w:rPr>
      </w:pPr>
      <w:r w:rsidRPr="00DF23EB">
        <w:rPr>
          <w:rFonts w:ascii="Times New Roman" w:eastAsia="Calibri" w:hAnsi="Times New Roman" w:cs="Times New Roman"/>
          <w:b/>
          <w:sz w:val="24"/>
          <w:szCs w:val="24"/>
        </w:rPr>
        <w:t xml:space="preserve">                                                          </w:t>
      </w:r>
      <w:r w:rsidRPr="00DF23EB">
        <w:rPr>
          <w:rFonts w:ascii="Times New Roman" w:eastAsia="Calibri" w:hAnsi="Times New Roman" w:cs="Times New Roman"/>
          <w:b/>
          <w:i/>
          <w:sz w:val="24"/>
          <w:szCs w:val="24"/>
        </w:rPr>
        <w:t>Abstract</w:t>
      </w:r>
    </w:p>
    <w:p w14:paraId="7210D541" w14:textId="77777777" w:rsidR="00DF23EB" w:rsidRPr="00DF23EB" w:rsidRDefault="00DF23EB" w:rsidP="00DF23EB">
      <w:pPr>
        <w:spacing w:after="0" w:line="240" w:lineRule="auto"/>
        <w:jc w:val="both"/>
        <w:rPr>
          <w:rFonts w:ascii="Times New Roman" w:eastAsia="Calibri" w:hAnsi="Times New Roman" w:cs="Times New Roman"/>
          <w:b/>
          <w:i/>
          <w:sz w:val="24"/>
          <w:szCs w:val="24"/>
        </w:rPr>
      </w:pPr>
    </w:p>
    <w:p w14:paraId="0AD220EB" w14:textId="77777777" w:rsidR="00DF23EB" w:rsidRPr="00DF23EB" w:rsidRDefault="00DF23EB" w:rsidP="00DF23EB">
      <w:pPr>
        <w:spacing w:after="0" w:line="240" w:lineRule="auto"/>
        <w:jc w:val="both"/>
        <w:rPr>
          <w:rFonts w:ascii="Times New Roman" w:eastAsia="Calibri" w:hAnsi="Times New Roman" w:cs="Times New Roman"/>
          <w:b/>
          <w:i/>
          <w:sz w:val="24"/>
          <w:szCs w:val="24"/>
        </w:rPr>
      </w:pPr>
      <w:r w:rsidRPr="00DF23EB">
        <w:rPr>
          <w:rFonts w:ascii="Times New Roman" w:eastAsia="Calibri" w:hAnsi="Times New Roman" w:cs="Times New Roman"/>
          <w:b/>
          <w:i/>
          <w:sz w:val="24"/>
          <w:szCs w:val="24"/>
        </w:rPr>
        <w:t>Tobacco use is a global health concern that claims millions of lives each year and undoubtedly imposes a tremendous economic burden on countries and communities across the globe. Developing a sound, responsible and equitable policy regarding the taxation of tobacco consumption is a goal that every country should strive to attain.</w:t>
      </w:r>
    </w:p>
    <w:p w14:paraId="3A45860D" w14:textId="77777777" w:rsidR="00DF23EB" w:rsidRPr="00DF23EB" w:rsidRDefault="00DF23EB" w:rsidP="00DF23EB">
      <w:pPr>
        <w:spacing w:after="0" w:line="240" w:lineRule="auto"/>
        <w:jc w:val="both"/>
        <w:rPr>
          <w:rFonts w:ascii="Times New Roman" w:eastAsia="Calibri" w:hAnsi="Times New Roman" w:cs="Times New Roman"/>
          <w:b/>
          <w:i/>
          <w:sz w:val="24"/>
          <w:szCs w:val="24"/>
        </w:rPr>
      </w:pPr>
    </w:p>
    <w:p w14:paraId="183480C9" w14:textId="77777777" w:rsidR="00DF23EB" w:rsidRPr="00DF23EB" w:rsidRDefault="00DF23EB" w:rsidP="00DF23EB">
      <w:pPr>
        <w:spacing w:after="0" w:line="240" w:lineRule="auto"/>
        <w:jc w:val="both"/>
        <w:rPr>
          <w:rFonts w:ascii="Times New Roman" w:eastAsia="Calibri" w:hAnsi="Times New Roman" w:cs="Times New Roman"/>
          <w:b/>
          <w:sz w:val="24"/>
          <w:szCs w:val="24"/>
        </w:rPr>
      </w:pPr>
    </w:p>
    <w:p w14:paraId="313D4D40" w14:textId="77777777" w:rsidR="00DF23EB" w:rsidRPr="00DF23EB" w:rsidRDefault="00DF23EB" w:rsidP="00DF23EB">
      <w:pPr>
        <w:spacing w:after="0" w:line="240" w:lineRule="auto"/>
        <w:jc w:val="both"/>
        <w:rPr>
          <w:rFonts w:ascii="Times New Roman" w:eastAsia="Calibri" w:hAnsi="Times New Roman" w:cs="Times New Roman"/>
          <w:b/>
          <w:sz w:val="24"/>
          <w:szCs w:val="24"/>
        </w:rPr>
      </w:pPr>
    </w:p>
    <w:p w14:paraId="17C96CDD" w14:textId="77777777" w:rsidR="00DF23EB" w:rsidRPr="00DF23EB" w:rsidRDefault="00DF23EB" w:rsidP="00DF23EB">
      <w:pPr>
        <w:spacing w:after="0" w:line="240" w:lineRule="auto"/>
        <w:jc w:val="both"/>
        <w:rPr>
          <w:rFonts w:ascii="Times New Roman" w:eastAsia="Calibri" w:hAnsi="Times New Roman" w:cs="Times New Roman"/>
          <w:b/>
          <w:sz w:val="24"/>
          <w:szCs w:val="24"/>
        </w:rPr>
      </w:pPr>
    </w:p>
    <w:p w14:paraId="2562213F" w14:textId="77777777" w:rsidR="00DF23EB" w:rsidRPr="00DF23EB" w:rsidRDefault="00DF23EB" w:rsidP="00DF23EB">
      <w:pPr>
        <w:spacing w:after="0" w:line="240" w:lineRule="auto"/>
        <w:jc w:val="both"/>
        <w:rPr>
          <w:rFonts w:ascii="Times New Roman" w:eastAsia="Calibri" w:hAnsi="Times New Roman" w:cs="Times New Roman"/>
          <w:b/>
          <w:sz w:val="24"/>
          <w:szCs w:val="24"/>
        </w:rPr>
      </w:pPr>
    </w:p>
    <w:p w14:paraId="40A221E3" w14:textId="77777777" w:rsidR="00DF23EB" w:rsidRPr="00DF23EB" w:rsidRDefault="00DF23EB" w:rsidP="00DF23EB">
      <w:pPr>
        <w:spacing w:after="0" w:line="240" w:lineRule="auto"/>
        <w:jc w:val="both"/>
        <w:rPr>
          <w:rFonts w:ascii="Times New Roman" w:eastAsia="Calibri" w:hAnsi="Times New Roman" w:cs="Times New Roman"/>
          <w:b/>
          <w:sz w:val="24"/>
          <w:szCs w:val="24"/>
        </w:rPr>
      </w:pPr>
    </w:p>
    <w:p w14:paraId="26FADD8E" w14:textId="77777777" w:rsidR="00DF23EB" w:rsidRPr="00DF23EB" w:rsidRDefault="00DF23EB" w:rsidP="00DF23EB">
      <w:pPr>
        <w:spacing w:after="0" w:line="240" w:lineRule="auto"/>
        <w:jc w:val="both"/>
        <w:rPr>
          <w:rFonts w:ascii="Times New Roman" w:eastAsia="Calibri" w:hAnsi="Times New Roman" w:cs="Times New Roman"/>
          <w:b/>
          <w:sz w:val="24"/>
          <w:szCs w:val="24"/>
        </w:rPr>
      </w:pPr>
    </w:p>
    <w:p w14:paraId="01124D22" w14:textId="77777777" w:rsidR="00DF23EB" w:rsidRPr="00DF23EB" w:rsidRDefault="00DF23EB" w:rsidP="00DF23EB">
      <w:pPr>
        <w:spacing w:after="0" w:line="240" w:lineRule="auto"/>
        <w:jc w:val="both"/>
        <w:rPr>
          <w:rFonts w:ascii="Times New Roman" w:eastAsia="Calibri" w:hAnsi="Times New Roman" w:cs="Times New Roman"/>
          <w:b/>
          <w:sz w:val="24"/>
          <w:szCs w:val="24"/>
        </w:rPr>
      </w:pPr>
    </w:p>
    <w:p w14:paraId="3625BBD6" w14:textId="77777777" w:rsidR="00DF23EB" w:rsidRPr="00DF23EB" w:rsidRDefault="00DF23EB" w:rsidP="00DF23EB">
      <w:pPr>
        <w:spacing w:after="0" w:line="240" w:lineRule="auto"/>
        <w:jc w:val="both"/>
        <w:rPr>
          <w:rFonts w:ascii="Times New Roman" w:eastAsia="Calibri" w:hAnsi="Times New Roman" w:cs="Times New Roman"/>
          <w:b/>
          <w:sz w:val="24"/>
          <w:szCs w:val="24"/>
        </w:rPr>
      </w:pPr>
    </w:p>
    <w:p w14:paraId="60A3DA35" w14:textId="77777777" w:rsidR="00DF23EB" w:rsidRPr="00DF23EB" w:rsidRDefault="00DF23EB" w:rsidP="00DF23EB">
      <w:pPr>
        <w:spacing w:after="0" w:line="240" w:lineRule="auto"/>
        <w:jc w:val="both"/>
        <w:rPr>
          <w:rFonts w:ascii="Times New Roman" w:eastAsia="Calibri" w:hAnsi="Times New Roman" w:cs="Times New Roman"/>
          <w:b/>
          <w:sz w:val="24"/>
          <w:szCs w:val="24"/>
        </w:rPr>
      </w:pPr>
    </w:p>
    <w:p w14:paraId="08F703EA" w14:textId="77777777" w:rsidR="00DF23EB" w:rsidRPr="00DF23EB" w:rsidRDefault="00DF23EB" w:rsidP="00DF23EB">
      <w:pPr>
        <w:spacing w:after="0" w:line="240" w:lineRule="auto"/>
        <w:jc w:val="both"/>
        <w:rPr>
          <w:rFonts w:ascii="Times New Roman" w:eastAsia="Calibri" w:hAnsi="Times New Roman" w:cs="Times New Roman"/>
          <w:b/>
          <w:sz w:val="24"/>
          <w:szCs w:val="24"/>
        </w:rPr>
      </w:pPr>
    </w:p>
    <w:p w14:paraId="075DE7A0" w14:textId="77777777" w:rsidR="00DF23EB" w:rsidRPr="00DF23EB" w:rsidRDefault="00DF23EB" w:rsidP="00DF23EB">
      <w:pPr>
        <w:spacing w:after="0" w:line="240" w:lineRule="auto"/>
        <w:jc w:val="both"/>
        <w:rPr>
          <w:rFonts w:ascii="Times New Roman" w:eastAsia="Calibri" w:hAnsi="Times New Roman" w:cs="Times New Roman"/>
          <w:b/>
          <w:sz w:val="24"/>
          <w:szCs w:val="24"/>
        </w:rPr>
      </w:pPr>
    </w:p>
    <w:p w14:paraId="388BA0C5" w14:textId="77777777" w:rsidR="00DF23EB" w:rsidRPr="00DF23EB" w:rsidRDefault="00DF23EB" w:rsidP="00DF23EB">
      <w:pPr>
        <w:spacing w:after="0" w:line="240" w:lineRule="auto"/>
        <w:jc w:val="both"/>
        <w:rPr>
          <w:rFonts w:ascii="Times New Roman" w:eastAsia="Calibri" w:hAnsi="Times New Roman" w:cs="Times New Roman"/>
          <w:b/>
          <w:sz w:val="24"/>
          <w:szCs w:val="24"/>
        </w:rPr>
      </w:pPr>
    </w:p>
    <w:p w14:paraId="542502A1" w14:textId="77777777" w:rsidR="00DF23EB" w:rsidRPr="00DF23EB" w:rsidRDefault="00DF23EB" w:rsidP="00DF23EB">
      <w:pPr>
        <w:numPr>
          <w:ilvl w:val="0"/>
          <w:numId w:val="10"/>
        </w:numPr>
        <w:spacing w:after="0" w:line="240" w:lineRule="auto"/>
        <w:jc w:val="both"/>
        <w:rPr>
          <w:rFonts w:ascii="Times New Roman" w:eastAsia="Calibri" w:hAnsi="Times New Roman" w:cs="Times New Roman"/>
          <w:b/>
          <w:sz w:val="28"/>
          <w:szCs w:val="28"/>
        </w:rPr>
      </w:pPr>
      <w:r w:rsidRPr="00DF23EB">
        <w:rPr>
          <w:rFonts w:ascii="Times New Roman" w:eastAsia="Calibri" w:hAnsi="Times New Roman" w:cs="Times New Roman"/>
          <w:b/>
          <w:sz w:val="28"/>
          <w:szCs w:val="28"/>
        </w:rPr>
        <w:lastRenderedPageBreak/>
        <w:t>Introduction:  Harmful &amp; Costly Effects of Cigarette Smoking</w:t>
      </w:r>
    </w:p>
    <w:p w14:paraId="2AE2BDC5" w14:textId="77777777" w:rsidR="00DF23EB" w:rsidRPr="00DF23EB" w:rsidRDefault="00DF23EB" w:rsidP="00DF23EB">
      <w:pPr>
        <w:spacing w:after="0" w:line="240" w:lineRule="auto"/>
        <w:jc w:val="both"/>
        <w:rPr>
          <w:rFonts w:ascii="Times New Roman" w:eastAsia="Calibri" w:hAnsi="Times New Roman" w:cs="Times New Roman"/>
          <w:b/>
          <w:sz w:val="28"/>
          <w:szCs w:val="28"/>
        </w:rPr>
      </w:pPr>
    </w:p>
    <w:p w14:paraId="5796FBE4" w14:textId="77777777" w:rsidR="00DF23EB" w:rsidRPr="00DF23EB" w:rsidRDefault="00DF23EB" w:rsidP="00DF23EB">
      <w:pPr>
        <w:spacing w:after="0" w:line="240" w:lineRule="auto"/>
        <w:ind w:left="360" w:firstLine="360"/>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Smoking is among the most common risky behaviors associated with major </w:t>
      </w:r>
    </w:p>
    <w:p w14:paraId="564A450D" w14:textId="77777777" w:rsidR="00DF23EB" w:rsidRPr="00DF23EB" w:rsidRDefault="00DF23EB" w:rsidP="00DF23EB">
      <w:pPr>
        <w:spacing w:after="0" w:line="240" w:lineRule="auto"/>
        <w:ind w:left="360"/>
        <w:jc w:val="both"/>
        <w:rPr>
          <w:rFonts w:ascii="Times New Roman" w:eastAsia="Calibri" w:hAnsi="Times New Roman" w:cs="Times New Roman"/>
          <w:bCs/>
          <w:sz w:val="28"/>
          <w:szCs w:val="28"/>
        </w:rPr>
      </w:pPr>
    </w:p>
    <w:p w14:paraId="7A47DAC9"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illnesses.  In 1964, The U.S. Surgeon General declared that “cigarette smoking </w:t>
      </w:r>
    </w:p>
    <w:p w14:paraId="31A153C5" w14:textId="77777777" w:rsidR="00DF23EB" w:rsidRPr="00DF23EB" w:rsidRDefault="00DF23EB" w:rsidP="00DF23EB">
      <w:pPr>
        <w:spacing w:after="0" w:line="240" w:lineRule="auto"/>
        <w:ind w:left="360"/>
        <w:jc w:val="both"/>
        <w:rPr>
          <w:rFonts w:ascii="Times New Roman" w:eastAsia="Calibri" w:hAnsi="Times New Roman" w:cs="Times New Roman"/>
          <w:bCs/>
          <w:sz w:val="28"/>
          <w:szCs w:val="28"/>
        </w:rPr>
      </w:pPr>
    </w:p>
    <w:p w14:paraId="1517850F"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is a health hazard of sufficient importance in the United States to warrant </w:t>
      </w:r>
    </w:p>
    <w:p w14:paraId="425857C8" w14:textId="77777777" w:rsidR="00DF23EB" w:rsidRPr="00DF23EB" w:rsidRDefault="00DF23EB" w:rsidP="00DF23EB">
      <w:pPr>
        <w:spacing w:after="0" w:line="240" w:lineRule="auto"/>
        <w:ind w:left="360"/>
        <w:jc w:val="both"/>
        <w:rPr>
          <w:rFonts w:ascii="Times New Roman" w:eastAsia="Calibri" w:hAnsi="Times New Roman" w:cs="Times New Roman"/>
          <w:bCs/>
          <w:sz w:val="28"/>
          <w:szCs w:val="28"/>
        </w:rPr>
      </w:pPr>
    </w:p>
    <w:p w14:paraId="522C6A7F"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appropriate remedial action”.</w:t>
      </w:r>
      <w:r w:rsidRPr="00DF23EB">
        <w:rPr>
          <w:rFonts w:ascii="Times New Roman" w:eastAsia="Calibri" w:hAnsi="Times New Roman" w:cs="Times New Roman"/>
          <w:bCs/>
          <w:sz w:val="28"/>
          <w:szCs w:val="28"/>
          <w:vertAlign w:val="superscript"/>
        </w:rPr>
        <w:footnoteReference w:id="17"/>
      </w:r>
      <w:r w:rsidRPr="00DF23EB">
        <w:rPr>
          <w:rFonts w:ascii="Times New Roman" w:eastAsia="Calibri" w:hAnsi="Times New Roman" w:cs="Times New Roman"/>
          <w:bCs/>
          <w:sz w:val="28"/>
          <w:szCs w:val="28"/>
        </w:rPr>
        <w:t xml:space="preserve"> Cigarette smoking is extremely hazardous to an </w:t>
      </w:r>
    </w:p>
    <w:p w14:paraId="0CFE77FC"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194DBCF7"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individual’s health. Smoking can lead to disease, disability and cause harm to </w:t>
      </w:r>
    </w:p>
    <w:p w14:paraId="56570EF8"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64E6259F"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nearly every organ of the body. Smoking causes cancer, heart disease, stroke, lung </w:t>
      </w:r>
    </w:p>
    <w:p w14:paraId="6C3E2352"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26DDE379"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diseases, type 2 diabetes, and other chronic health conditions.  The hazardous </w:t>
      </w:r>
    </w:p>
    <w:p w14:paraId="296C54FA"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3C04C141"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impact extends beyond the individual who smokes. Smoking causes several forms </w:t>
      </w:r>
    </w:p>
    <w:p w14:paraId="1D76AA90"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6C7A28E2"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of cancer, including approximately 90% of lung cancer deaths. </w:t>
      </w:r>
      <w:r w:rsidRPr="00DF23EB">
        <w:rPr>
          <w:rFonts w:ascii="Times New Roman" w:eastAsia="Calibri" w:hAnsi="Times New Roman" w:cs="Times New Roman"/>
          <w:bCs/>
          <w:sz w:val="28"/>
          <w:szCs w:val="28"/>
          <w:vertAlign w:val="superscript"/>
        </w:rPr>
        <w:footnoteReference w:id="18"/>
      </w:r>
      <w:r w:rsidRPr="00DF23EB">
        <w:rPr>
          <w:rFonts w:ascii="Times New Roman" w:eastAsia="Calibri" w:hAnsi="Times New Roman" w:cs="Times New Roman"/>
          <w:bCs/>
          <w:sz w:val="28"/>
          <w:szCs w:val="28"/>
        </w:rPr>
        <w:t xml:space="preserve">Smoking is a </w:t>
      </w:r>
    </w:p>
    <w:p w14:paraId="257F4663"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1EBC072E"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major cause of heart disease and stroke and causes nearly 25% of all deaths </w:t>
      </w:r>
    </w:p>
    <w:p w14:paraId="2E6C2091"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052A1EA4"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relating to heart disease and stroke. An estimated 28.3 million adults smoke </w:t>
      </w:r>
    </w:p>
    <w:p w14:paraId="3BE62364"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06E87472"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cigarettes, and about 2.80 million middle and high school students use at least one </w:t>
      </w:r>
    </w:p>
    <w:p w14:paraId="1EC7E6F9"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75F4A2B7"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tobacco product, including e-cigarettes. </w:t>
      </w:r>
      <w:r w:rsidRPr="00DF23EB">
        <w:rPr>
          <w:rFonts w:ascii="Times New Roman" w:eastAsia="Calibri" w:hAnsi="Times New Roman" w:cs="Times New Roman"/>
          <w:bCs/>
          <w:sz w:val="28"/>
          <w:szCs w:val="28"/>
          <w:vertAlign w:val="superscript"/>
        </w:rPr>
        <w:footnoteReference w:id="19"/>
      </w:r>
      <w:r w:rsidRPr="00DF23EB">
        <w:rPr>
          <w:rFonts w:ascii="Times New Roman" w:eastAsia="Calibri" w:hAnsi="Times New Roman" w:cs="Times New Roman"/>
          <w:bCs/>
          <w:sz w:val="28"/>
          <w:szCs w:val="28"/>
        </w:rPr>
        <w:t xml:space="preserve"> Each year, nearly half a million </w:t>
      </w:r>
    </w:p>
    <w:p w14:paraId="45133287"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0C863C30"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Americans die prematurely of smoking or exposure to secondhand smoke.  An </w:t>
      </w:r>
    </w:p>
    <w:p w14:paraId="14BFBA6F"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1A5FE242"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additional sixteen million Americans suffer every day with a serious illness caused </w:t>
      </w:r>
    </w:p>
    <w:p w14:paraId="6B77BEB6"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6BDC49EB"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by smoking. Tobacco use costs more than $600 billion a year, including $241 </w:t>
      </w:r>
    </w:p>
    <w:p w14:paraId="7D0CBBAC"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billion in direct medical care, 60 percent of which is paid through government </w:t>
      </w:r>
    </w:p>
    <w:p w14:paraId="6C88A6B3"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51700C8C"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programs such as Medicare and Medicaid, and $365 billion in lost productivity.</w:t>
      </w:r>
      <w:r w:rsidRPr="00DF23EB">
        <w:rPr>
          <w:rFonts w:ascii="Times New Roman" w:eastAsia="Calibri" w:hAnsi="Times New Roman" w:cs="Times New Roman"/>
          <w:bCs/>
          <w:sz w:val="28"/>
          <w:szCs w:val="28"/>
          <w:vertAlign w:val="superscript"/>
        </w:rPr>
        <w:footnoteReference w:id="20"/>
      </w:r>
    </w:p>
    <w:p w14:paraId="529E49E0" w14:textId="77777777" w:rsidR="00DF23EB" w:rsidRPr="00DF23EB" w:rsidRDefault="00DF23EB" w:rsidP="00DF23EB">
      <w:pPr>
        <w:spacing w:after="0" w:line="240" w:lineRule="auto"/>
        <w:jc w:val="both"/>
        <w:rPr>
          <w:rFonts w:ascii="Times New Roman" w:eastAsia="Calibri" w:hAnsi="Times New Roman" w:cs="Times New Roman"/>
          <w:bCs/>
          <w:sz w:val="28"/>
          <w:szCs w:val="28"/>
        </w:rPr>
      </w:pPr>
      <w:bookmarkStart w:id="6" w:name="_Hlk154740566"/>
      <w:r w:rsidRPr="00DF23EB">
        <w:rPr>
          <w:rFonts w:ascii="Times New Roman" w:eastAsia="Calibri" w:hAnsi="Times New Roman" w:cs="Times New Roman"/>
          <w:bCs/>
          <w:sz w:val="28"/>
          <w:szCs w:val="28"/>
        </w:rPr>
        <w:t xml:space="preserve">           </w:t>
      </w:r>
    </w:p>
    <w:bookmarkEnd w:id="6"/>
    <w:p w14:paraId="1D84E940" w14:textId="77777777" w:rsidR="00DF23EB" w:rsidRPr="00DF23EB" w:rsidRDefault="00DF23EB" w:rsidP="00DF23EB">
      <w:pPr>
        <w:numPr>
          <w:ilvl w:val="0"/>
          <w:numId w:val="10"/>
        </w:numPr>
        <w:spacing w:after="0" w:line="240" w:lineRule="auto"/>
        <w:jc w:val="both"/>
        <w:rPr>
          <w:rFonts w:ascii="Times New Roman" w:eastAsia="Calibri" w:hAnsi="Times New Roman" w:cs="Times New Roman"/>
          <w:b/>
          <w:sz w:val="28"/>
          <w:szCs w:val="28"/>
        </w:rPr>
      </w:pPr>
      <w:r w:rsidRPr="00DF23EB">
        <w:rPr>
          <w:rFonts w:ascii="Times New Roman" w:eastAsia="Calibri" w:hAnsi="Times New Roman" w:cs="Times New Roman"/>
          <w:b/>
          <w:sz w:val="28"/>
          <w:szCs w:val="28"/>
        </w:rPr>
        <w:t xml:space="preserve"> Using Tobacco Taxes to Reduce Tobacco Use</w:t>
      </w:r>
    </w:p>
    <w:p w14:paraId="0EF4EBAF" w14:textId="77777777" w:rsidR="00DF23EB" w:rsidRPr="00DF23EB" w:rsidRDefault="00DF23EB" w:rsidP="00DF23EB">
      <w:pPr>
        <w:spacing w:after="0" w:line="240" w:lineRule="auto"/>
        <w:ind w:left="720"/>
        <w:jc w:val="both"/>
        <w:rPr>
          <w:rFonts w:ascii="Times New Roman" w:eastAsia="Calibri" w:hAnsi="Times New Roman" w:cs="Times New Roman"/>
          <w:bCs/>
          <w:sz w:val="28"/>
          <w:szCs w:val="28"/>
        </w:rPr>
      </w:pPr>
    </w:p>
    <w:p w14:paraId="65024B39" w14:textId="77777777" w:rsidR="00DF23EB" w:rsidRPr="00DF23EB" w:rsidRDefault="00DF23EB" w:rsidP="00DF23EB">
      <w:pPr>
        <w:spacing w:after="0" w:line="240" w:lineRule="auto"/>
        <w:ind w:left="720"/>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Historically, the use and implementation of tobacco taxes have been utilized</w:t>
      </w:r>
    </w:p>
    <w:p w14:paraId="240CC1D2"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18744F49"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by governments as a way to not only curb the use of tobacco but to also raise funds </w:t>
      </w:r>
    </w:p>
    <w:p w14:paraId="41126DA0"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7B045F40"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to treat the harmful effects of the use of the product. In 2022, revenues from </w:t>
      </w:r>
    </w:p>
    <w:p w14:paraId="71C70911"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7BB3C3E3"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tobacco taxes in the United States amounted to $11.26 billion.</w:t>
      </w:r>
      <w:r w:rsidRPr="00DF23EB">
        <w:rPr>
          <w:rFonts w:ascii="Times New Roman" w:eastAsia="Calibri" w:hAnsi="Times New Roman" w:cs="Times New Roman"/>
          <w:bCs/>
          <w:sz w:val="28"/>
          <w:szCs w:val="28"/>
          <w:vertAlign w:val="superscript"/>
        </w:rPr>
        <w:footnoteReference w:id="21"/>
      </w:r>
      <w:r w:rsidRPr="00DF23EB">
        <w:rPr>
          <w:rFonts w:ascii="Times New Roman" w:eastAsia="Calibri" w:hAnsi="Times New Roman" w:cs="Times New Roman"/>
          <w:bCs/>
          <w:sz w:val="28"/>
          <w:szCs w:val="28"/>
        </w:rPr>
        <w:t xml:space="preserve">    Nearly ten years </w:t>
      </w:r>
    </w:p>
    <w:p w14:paraId="3A6EDF44"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4A77FAA9"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ago, the Congressional Budget Office (“CBO”) authored a lengthy report which </w:t>
      </w:r>
    </w:p>
    <w:p w14:paraId="77D7FFC1"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347B9191"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basically recommended increasing the federal tobacco excise tax. In June, 2012, </w:t>
      </w:r>
    </w:p>
    <w:p w14:paraId="038C244C"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32592910"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the CBO issued a detailed report which analyzed the overall effects of a fifty cent </w:t>
      </w:r>
    </w:p>
    <w:p w14:paraId="21892028"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24A3741A"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increase in the federal cigarette excise tax, one which was estimated to raise </w:t>
      </w:r>
    </w:p>
    <w:p w14:paraId="2DA9CD8E"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663F9EB2"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approximately $38 billion of revenue through 2021 before accounting for positive </w:t>
      </w:r>
    </w:p>
    <w:p w14:paraId="31B7F1E6"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78C7D938"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health effects.  To the extent the tax increase would cause cigarette consumption to </w:t>
      </w:r>
    </w:p>
    <w:p w14:paraId="25E5434A"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675330CB"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decline, the CBO found that the increase would logically result in a significant </w:t>
      </w:r>
    </w:p>
    <w:p w14:paraId="7D83BD73"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4207DF96"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improvement in people’s overall health.</w:t>
      </w:r>
      <w:r w:rsidRPr="00DF23EB">
        <w:rPr>
          <w:rFonts w:ascii="Times New Roman" w:eastAsia="Calibri" w:hAnsi="Times New Roman" w:cs="Times New Roman"/>
          <w:bCs/>
          <w:sz w:val="28"/>
          <w:szCs w:val="28"/>
          <w:vertAlign w:val="superscript"/>
        </w:rPr>
        <w:footnoteReference w:id="22"/>
      </w:r>
      <w:r w:rsidRPr="00DF23EB">
        <w:rPr>
          <w:rFonts w:ascii="Times New Roman" w:eastAsia="Calibri" w:hAnsi="Times New Roman" w:cs="Times New Roman"/>
          <w:bCs/>
          <w:sz w:val="28"/>
          <w:szCs w:val="28"/>
        </w:rPr>
        <w:t xml:space="preserve">  </w:t>
      </w:r>
    </w:p>
    <w:p w14:paraId="43194C3E"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          </w:t>
      </w:r>
    </w:p>
    <w:p w14:paraId="3C8EBCB1" w14:textId="77777777" w:rsidR="00DF23EB" w:rsidRPr="00DF23EB" w:rsidRDefault="00DF23EB" w:rsidP="00DF23EB">
      <w:pPr>
        <w:spacing w:after="0" w:line="240" w:lineRule="auto"/>
        <w:ind w:firstLine="720"/>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In addition to the federal excise tax imposed on cigarettes, each state also </w:t>
      </w:r>
    </w:p>
    <w:p w14:paraId="4AE9A7CB"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00D6FA41"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imposes a separate tax on cigarettes. The following illustrates or otherwise </w:t>
      </w:r>
    </w:p>
    <w:p w14:paraId="524B4B7B"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2D9B8C8C"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demonstrates a current ranking of each state’s tobacco excise tax on a per pack </w:t>
      </w:r>
    </w:p>
    <w:p w14:paraId="436B9427"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111F65FA"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lastRenderedPageBreak/>
        <w:t>basis</w:t>
      </w:r>
      <w:r w:rsidRPr="00DF23EB">
        <w:rPr>
          <w:rFonts w:ascii="Times New Roman" w:eastAsia="Calibri" w:hAnsi="Times New Roman" w:cs="Times New Roman"/>
          <w:bCs/>
          <w:sz w:val="28"/>
          <w:szCs w:val="28"/>
          <w:vertAlign w:val="superscript"/>
        </w:rPr>
        <w:footnoteReference w:id="23"/>
      </w:r>
      <w:r w:rsidRPr="00DF23EB">
        <w:rPr>
          <w:rFonts w:ascii="Times New Roman" w:eastAsia="Calibri" w:hAnsi="Times New Roman" w:cs="Times New Roman"/>
          <w:bCs/>
          <w:sz w:val="28"/>
          <w:szCs w:val="28"/>
        </w:rPr>
        <w:t>:</w:t>
      </w:r>
    </w:p>
    <w:p w14:paraId="7C97D812"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684929D7"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1)New York                   5.35</w:t>
      </w:r>
    </w:p>
    <w:p w14:paraId="59D70E52"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2)District of Columbia   4.50</w:t>
      </w:r>
    </w:p>
    <w:p w14:paraId="2A4D4B3D"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3)Connecticut                4.35</w:t>
      </w:r>
    </w:p>
    <w:p w14:paraId="724C28C4"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4)Rhode Island               4.25</w:t>
      </w:r>
    </w:p>
    <w:p w14:paraId="6EC4DD96"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5)Maryland                     3.75</w:t>
      </w:r>
    </w:p>
    <w:p w14:paraId="1175C366"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6)Massachusetts             3.51</w:t>
      </w:r>
    </w:p>
    <w:p w14:paraId="6DD5D5ED"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7)Oregon                        3.33</w:t>
      </w:r>
    </w:p>
    <w:p w14:paraId="3F7CD5F1"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8)Hawaii                         3.20</w:t>
      </w:r>
    </w:p>
    <w:p w14:paraId="3328474F"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9)Vermont                      3.08</w:t>
      </w:r>
    </w:p>
    <w:p w14:paraId="2B44637D"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10)Minnesota                 3.04</w:t>
      </w:r>
    </w:p>
    <w:p w14:paraId="79A97851"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11)Washington               3.025</w:t>
      </w:r>
    </w:p>
    <w:p w14:paraId="7579A752"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12)Illinois                       2.98</w:t>
      </w:r>
    </w:p>
    <w:p w14:paraId="5714E435"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13)California                  2.87</w:t>
      </w:r>
    </w:p>
    <w:p w14:paraId="5783A2FD"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14)New Jersey                2.70</w:t>
      </w:r>
    </w:p>
    <w:p w14:paraId="7010A6AA"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15)Pennsylvania             2.60</w:t>
      </w:r>
    </w:p>
    <w:p w14:paraId="49D6B108"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16)Wisconsin                 2.52</w:t>
      </w:r>
    </w:p>
    <w:p w14:paraId="4C5261B0"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17)Delaware                   2.10</w:t>
      </w:r>
    </w:p>
    <w:p w14:paraId="0F7A785A"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18)Oklahoma                 2.03</w:t>
      </w:r>
    </w:p>
    <w:p w14:paraId="6867DF3F"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19)Alaska                      2.00</w:t>
      </w:r>
    </w:p>
    <w:p w14:paraId="73EC69D2"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19)Arizona                    2.00</w:t>
      </w:r>
    </w:p>
    <w:p w14:paraId="4FA499BF"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19)Maine                       2.00</w:t>
      </w:r>
    </w:p>
    <w:p w14:paraId="78AB02FC"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19)Michigan                  2.00</w:t>
      </w:r>
    </w:p>
    <w:p w14:paraId="539E6C24"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19)New Mexico             2.00</w:t>
      </w:r>
    </w:p>
    <w:p w14:paraId="7FA77ECF"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24)Colorado                   1.94</w:t>
      </w:r>
    </w:p>
    <w:p w14:paraId="57B8D451"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25)Nevada                      1.80</w:t>
      </w:r>
    </w:p>
    <w:p w14:paraId="68B610D9"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26)New Hampshire        1.78</w:t>
      </w:r>
    </w:p>
    <w:p w14:paraId="2BB1447A"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27)Montana                    1.70</w:t>
      </w:r>
    </w:p>
    <w:p w14:paraId="4A9CC886"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27)Utah                           1.70</w:t>
      </w:r>
    </w:p>
    <w:p w14:paraId="7BC58C1A"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29)Ohio                           1.60</w:t>
      </w:r>
    </w:p>
    <w:p w14:paraId="649CAFF6"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30)South Dakota             1.53</w:t>
      </w:r>
    </w:p>
    <w:p w14:paraId="6A176D92"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31)Texas                         1.41</w:t>
      </w:r>
    </w:p>
    <w:p w14:paraId="1FD367E3"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32)Iowa                           1.36</w:t>
      </w:r>
    </w:p>
    <w:p w14:paraId="0C452DE2"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33)Florida                       1.339</w:t>
      </w:r>
    </w:p>
    <w:p w14:paraId="54FDF657"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34)Kansas                       1.29</w:t>
      </w:r>
    </w:p>
    <w:p w14:paraId="2DE04D22"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35)West Virginia            1.20</w:t>
      </w:r>
    </w:p>
    <w:p w14:paraId="10FBEFEA"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lastRenderedPageBreak/>
        <w:t>36)Arkansas                    1.15</w:t>
      </w:r>
    </w:p>
    <w:p w14:paraId="2C2FA054"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37)Kentucky                    1.10</w:t>
      </w:r>
    </w:p>
    <w:p w14:paraId="3A267275"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38)Louisiana                    1.08</w:t>
      </w:r>
    </w:p>
    <w:p w14:paraId="7001D854"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39)Indiana                          .995</w:t>
      </w:r>
    </w:p>
    <w:p w14:paraId="11D508F4"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40)Mississippi                    .68</w:t>
      </w:r>
    </w:p>
    <w:p w14:paraId="34C524A0"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41)Alabama                        .675</w:t>
      </w:r>
    </w:p>
    <w:p w14:paraId="0A1AD982"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42)Nebraska                       .64</w:t>
      </w:r>
    </w:p>
    <w:p w14:paraId="4316F95D"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43)Tennessee                      .62</w:t>
      </w:r>
    </w:p>
    <w:p w14:paraId="636933E8"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44)Virginia                         .60</w:t>
      </w:r>
    </w:p>
    <w:p w14:paraId="55F9444A"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44)Wyoming                       .60</w:t>
      </w:r>
    </w:p>
    <w:p w14:paraId="56BDB222"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46)Idaho                              .57</w:t>
      </w:r>
    </w:p>
    <w:p w14:paraId="4667A7BB"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46)South Carolina               .57</w:t>
      </w:r>
    </w:p>
    <w:p w14:paraId="119A818F"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48)North Carolina               .45</w:t>
      </w:r>
    </w:p>
    <w:p w14:paraId="6F690F82"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49)North Dakota                 .44</w:t>
      </w:r>
    </w:p>
    <w:p w14:paraId="2C84CFC9"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50)Georgia                          .37</w:t>
      </w:r>
    </w:p>
    <w:p w14:paraId="7E2418AC"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51)Missouri                         .17</w:t>
      </w:r>
    </w:p>
    <w:p w14:paraId="49D389B3"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535684BF"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392F82BB" w14:textId="77777777" w:rsidR="00DF23EB" w:rsidRPr="00DF23EB" w:rsidRDefault="00DF23EB" w:rsidP="00DF23EB">
      <w:pPr>
        <w:spacing w:after="0" w:line="240" w:lineRule="auto"/>
        <w:ind w:firstLine="720"/>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Historical and traditional thought with respect to tobacco taxes has always </w:t>
      </w:r>
    </w:p>
    <w:p w14:paraId="6EB716A0"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00EBD80A"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been that tremendous price elasticity exists regarding the relationship to increases </w:t>
      </w:r>
    </w:p>
    <w:p w14:paraId="72CB97ED"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079043F5"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in tobacco taxes.</w:t>
      </w:r>
      <w:r w:rsidRPr="00DF23EB">
        <w:rPr>
          <w:rFonts w:ascii="Times New Roman" w:eastAsia="Calibri" w:hAnsi="Times New Roman" w:cs="Times New Roman"/>
          <w:bCs/>
          <w:sz w:val="28"/>
          <w:szCs w:val="28"/>
          <w:vertAlign w:val="superscript"/>
        </w:rPr>
        <w:footnoteReference w:id="24"/>
      </w:r>
      <w:r w:rsidRPr="00DF23EB">
        <w:rPr>
          <w:rFonts w:ascii="Times New Roman" w:eastAsia="Calibri" w:hAnsi="Times New Roman" w:cs="Times New Roman"/>
          <w:bCs/>
          <w:sz w:val="28"/>
          <w:szCs w:val="28"/>
        </w:rPr>
        <w:t xml:space="preserve">   Increases in the tax on tobacco products almost certainly leads </w:t>
      </w:r>
    </w:p>
    <w:p w14:paraId="448BB963"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3F53EB53" w14:textId="77777777" w:rsidR="00DF23EB" w:rsidRPr="00DF23EB" w:rsidRDefault="00DF23EB" w:rsidP="00DF23EB">
      <w:pPr>
        <w:spacing w:after="0" w:line="240" w:lineRule="auto"/>
        <w:jc w:val="both"/>
        <w:rPr>
          <w:rFonts w:ascii="Times New Roman" w:eastAsia="Calibri" w:hAnsi="Times New Roman" w:cs="Times New Roman"/>
          <w:bCs/>
          <w:sz w:val="28"/>
          <w:szCs w:val="28"/>
        </w:rPr>
      </w:pPr>
      <w:r w:rsidRPr="00DF23EB">
        <w:rPr>
          <w:rFonts w:ascii="Times New Roman" w:eastAsia="Calibri" w:hAnsi="Times New Roman" w:cs="Times New Roman"/>
          <w:bCs/>
          <w:sz w:val="28"/>
          <w:szCs w:val="28"/>
        </w:rPr>
        <w:t xml:space="preserve">to a meaningful reduction in tobacco consumption.  </w:t>
      </w:r>
    </w:p>
    <w:p w14:paraId="11779942"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343F451B" w14:textId="77777777" w:rsidR="00DF23EB" w:rsidRPr="00DF23EB" w:rsidRDefault="00DF23EB" w:rsidP="00DF23EB">
      <w:pPr>
        <w:spacing w:after="0" w:line="240" w:lineRule="auto"/>
        <w:jc w:val="both"/>
        <w:rPr>
          <w:rFonts w:ascii="Times New Roman" w:eastAsia="Calibri" w:hAnsi="Times New Roman" w:cs="Times New Roman"/>
          <w:b/>
          <w:sz w:val="28"/>
          <w:szCs w:val="28"/>
        </w:rPr>
      </w:pPr>
      <w:r w:rsidRPr="00DF23EB">
        <w:rPr>
          <w:rFonts w:ascii="Times New Roman" w:eastAsia="Calibri" w:hAnsi="Times New Roman" w:cs="Times New Roman"/>
          <w:bCs/>
          <w:sz w:val="28"/>
          <w:szCs w:val="28"/>
        </w:rPr>
        <w:t xml:space="preserve">C)  </w:t>
      </w:r>
      <w:r w:rsidRPr="00DF23EB">
        <w:rPr>
          <w:rFonts w:ascii="Times New Roman" w:eastAsia="Calibri" w:hAnsi="Times New Roman" w:cs="Times New Roman"/>
          <w:b/>
          <w:sz w:val="28"/>
          <w:szCs w:val="28"/>
        </w:rPr>
        <w:t>The Proposed Tobacco Tax Equity Act</w:t>
      </w:r>
    </w:p>
    <w:p w14:paraId="7A4AE543" w14:textId="77777777" w:rsidR="00DF23EB" w:rsidRPr="00DF23EB" w:rsidRDefault="00DF23EB" w:rsidP="00DF23EB">
      <w:pPr>
        <w:spacing w:after="0" w:line="240" w:lineRule="auto"/>
        <w:ind w:firstLine="720"/>
        <w:jc w:val="both"/>
        <w:rPr>
          <w:rFonts w:ascii="Open Sans" w:eastAsia="Times New Roman" w:hAnsi="Open Sans" w:cs="Open Sans"/>
          <w:color w:val="000000"/>
          <w:sz w:val="28"/>
          <w:szCs w:val="28"/>
        </w:rPr>
      </w:pPr>
    </w:p>
    <w:p w14:paraId="264A2DFB" w14:textId="77777777" w:rsidR="00DF23EB" w:rsidRPr="00DF23EB" w:rsidRDefault="00DF23EB" w:rsidP="00DF23EB">
      <w:pPr>
        <w:spacing w:after="0" w:line="240" w:lineRule="auto"/>
        <w:ind w:firstLine="72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Federal tobacco taxes have not seen any type of increase since 2009, when </w:t>
      </w:r>
    </w:p>
    <w:p w14:paraId="06D2CCBB"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6004CD8A"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an increase was passed to fund children’s health insurance programs. </w:t>
      </w:r>
      <w:r w:rsidRPr="00DF23EB">
        <w:rPr>
          <w:rFonts w:ascii="Open Sans" w:eastAsia="Times New Roman" w:hAnsi="Open Sans" w:cs="Open Sans"/>
          <w:color w:val="000000"/>
          <w:sz w:val="24"/>
          <w:szCs w:val="24"/>
          <w:vertAlign w:val="superscript"/>
        </w:rPr>
        <w:footnoteReference w:id="25"/>
      </w:r>
      <w:r w:rsidRPr="00DF23EB">
        <w:rPr>
          <w:rFonts w:ascii="Open Sans" w:eastAsia="Times New Roman" w:hAnsi="Open Sans" w:cs="Open Sans"/>
          <w:color w:val="000000"/>
          <w:sz w:val="24"/>
          <w:szCs w:val="24"/>
        </w:rPr>
        <w:t xml:space="preserve"> This year, a </w:t>
      </w:r>
    </w:p>
    <w:p w14:paraId="334E1C66"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56A432CB"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congressional proposal, the Tobacco Tax Equity Act (“the Act”), has once again been </w:t>
      </w:r>
    </w:p>
    <w:p w14:paraId="743D895C"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77CB72AC"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authored by Senator Richard Durbin (D-IL).</w:t>
      </w:r>
      <w:r w:rsidRPr="00DF23EB">
        <w:rPr>
          <w:rFonts w:ascii="Open Sans" w:eastAsia="Times New Roman" w:hAnsi="Open Sans" w:cs="Open Sans"/>
          <w:color w:val="000000"/>
          <w:sz w:val="24"/>
          <w:szCs w:val="24"/>
          <w:vertAlign w:val="superscript"/>
        </w:rPr>
        <w:footnoteReference w:id="26"/>
      </w:r>
      <w:r w:rsidRPr="00DF23EB">
        <w:rPr>
          <w:rFonts w:ascii="Open Sans" w:eastAsia="Times New Roman" w:hAnsi="Open Sans" w:cs="Open Sans"/>
          <w:color w:val="000000"/>
          <w:sz w:val="24"/>
          <w:szCs w:val="24"/>
        </w:rPr>
        <w:t xml:space="preserve">  This proposal would drastically </w:t>
      </w:r>
    </w:p>
    <w:p w14:paraId="52FB322F"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09C11F1A"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lastRenderedPageBreak/>
        <w:t xml:space="preserve">increase tax rates on cigarettes by 100 percent and increase rates on all other </w:t>
      </w:r>
    </w:p>
    <w:p w14:paraId="50D2DCBF"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446B5CFC"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tobacco and nicotine products in order to achieve parity with the tax rate on </w:t>
      </w:r>
    </w:p>
    <w:p w14:paraId="65DB01F7"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1DE75971"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cigarettes. Other changes within the Act would result in substantial increases on </w:t>
      </w:r>
    </w:p>
    <w:p w14:paraId="4F5F0F6E"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0CDFBE77"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chewing tobacco (2,034 percent), and snuff (over 1,677 percent).</w:t>
      </w:r>
      <w:r w:rsidRPr="00DF23EB">
        <w:rPr>
          <w:rFonts w:ascii="Open Sans" w:eastAsia="Times New Roman" w:hAnsi="Open Sans" w:cs="Open Sans"/>
          <w:color w:val="000000"/>
          <w:sz w:val="24"/>
          <w:szCs w:val="24"/>
          <w:vertAlign w:val="superscript"/>
        </w:rPr>
        <w:footnoteReference w:id="27"/>
      </w:r>
      <w:r w:rsidRPr="00DF23EB">
        <w:rPr>
          <w:rFonts w:ascii="Open Sans" w:eastAsia="Times New Roman" w:hAnsi="Open Sans" w:cs="Open Sans"/>
          <w:color w:val="000000"/>
          <w:sz w:val="24"/>
          <w:szCs w:val="24"/>
        </w:rPr>
        <w:t xml:space="preserve">  The bill would </w:t>
      </w:r>
    </w:p>
    <w:p w14:paraId="7E9A83FD"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08C679EC"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also attempt to shut down loopholes for tobacco products by imposing a new </w:t>
      </w:r>
    </w:p>
    <w:p w14:paraId="414013B3"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52408002"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federal excise tax on e-cigarettes. The projected tax increase is estimated to raise </w:t>
      </w:r>
    </w:p>
    <w:p w14:paraId="0F7BBF98"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1971EF28"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nearly $112 billion over a ten-year period, but it is also expected that a </w:t>
      </w:r>
    </w:p>
    <w:p w14:paraId="42F08934"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20CC6829"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disproportionate amount of this new tax burden would fall upon low-income </w:t>
      </w:r>
    </w:p>
    <w:p w14:paraId="5CC49F52"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7E20EFFE"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Americans.</w:t>
      </w:r>
      <w:r w:rsidRPr="00DF23EB">
        <w:rPr>
          <w:rFonts w:ascii="Open Sans" w:eastAsia="Times New Roman" w:hAnsi="Open Sans" w:cs="Open Sans"/>
          <w:color w:val="000000"/>
          <w:sz w:val="24"/>
          <w:szCs w:val="24"/>
          <w:vertAlign w:val="superscript"/>
        </w:rPr>
        <w:footnoteReference w:id="28"/>
      </w:r>
    </w:p>
    <w:p w14:paraId="50A3CFFE" w14:textId="77777777" w:rsidR="00DF23EB" w:rsidRPr="00DF23EB" w:rsidRDefault="00DF23EB" w:rsidP="00DF23EB">
      <w:pPr>
        <w:spacing w:after="0" w:line="240" w:lineRule="auto"/>
        <w:jc w:val="both"/>
        <w:rPr>
          <w:rFonts w:ascii="Open Sans" w:eastAsia="Times New Roman" w:hAnsi="Open Sans" w:cs="Open Sans"/>
          <w:b/>
          <w:bCs/>
          <w:color w:val="000000"/>
          <w:sz w:val="24"/>
          <w:szCs w:val="24"/>
        </w:rPr>
      </w:pPr>
    </w:p>
    <w:p w14:paraId="376F32B1" w14:textId="77777777" w:rsidR="00DF23EB" w:rsidRPr="00DF23EB" w:rsidRDefault="00DF23EB" w:rsidP="00DF23EB">
      <w:pPr>
        <w:numPr>
          <w:ilvl w:val="0"/>
          <w:numId w:val="12"/>
        </w:numPr>
        <w:spacing w:after="0" w:line="240" w:lineRule="auto"/>
        <w:jc w:val="both"/>
        <w:rPr>
          <w:rFonts w:ascii="Open Sans" w:eastAsia="Times New Roman" w:hAnsi="Open Sans" w:cs="Open Sans"/>
          <w:b/>
          <w:bCs/>
          <w:color w:val="000000"/>
          <w:sz w:val="24"/>
          <w:szCs w:val="24"/>
        </w:rPr>
      </w:pPr>
      <w:r w:rsidRPr="00DF23EB">
        <w:rPr>
          <w:rFonts w:ascii="Open Sans" w:eastAsia="Times New Roman" w:hAnsi="Open Sans" w:cs="Open Sans"/>
          <w:b/>
          <w:bCs/>
          <w:color w:val="000000"/>
          <w:sz w:val="24"/>
          <w:szCs w:val="24"/>
        </w:rPr>
        <w:t xml:space="preserve"> The Regressivity of the Proposed Tax is Outweighed by the Positive Health Benefits of Reduced Smoking</w:t>
      </w:r>
    </w:p>
    <w:p w14:paraId="3FF88DF6" w14:textId="77777777" w:rsidR="00DF23EB" w:rsidRPr="00DF23EB" w:rsidRDefault="00DF23EB" w:rsidP="00DF23EB">
      <w:pPr>
        <w:spacing w:after="0" w:line="240" w:lineRule="auto"/>
        <w:ind w:left="720"/>
        <w:jc w:val="both"/>
        <w:rPr>
          <w:rFonts w:ascii="Open Sans" w:eastAsia="Times New Roman" w:hAnsi="Open Sans" w:cs="Open Sans"/>
          <w:b/>
          <w:bCs/>
          <w:color w:val="000000"/>
          <w:sz w:val="24"/>
          <w:szCs w:val="24"/>
        </w:rPr>
      </w:pPr>
    </w:p>
    <w:p w14:paraId="3D6AF228"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ab/>
        <w:t xml:space="preserve">The traditional view is that excise taxes like tobacco levies are extremely </w:t>
      </w:r>
    </w:p>
    <w:p w14:paraId="4AD8AF90"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75D408A4"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regressive.</w:t>
      </w:r>
      <w:r w:rsidRPr="00DF23EB">
        <w:rPr>
          <w:rFonts w:ascii="Open Sans" w:eastAsia="Times New Roman" w:hAnsi="Open Sans" w:cs="Open Sans"/>
          <w:color w:val="000000"/>
          <w:sz w:val="24"/>
          <w:szCs w:val="24"/>
          <w:vertAlign w:val="superscript"/>
        </w:rPr>
        <w:footnoteReference w:id="29"/>
      </w:r>
      <w:r w:rsidRPr="00DF23EB">
        <w:rPr>
          <w:rFonts w:ascii="Open Sans" w:eastAsia="Times New Roman" w:hAnsi="Open Sans" w:cs="Open Sans"/>
          <w:color w:val="000000"/>
          <w:sz w:val="24"/>
          <w:szCs w:val="24"/>
        </w:rPr>
        <w:t xml:space="preserve">  A regressive tax is one in which the poor generally pay a higher </w:t>
      </w:r>
    </w:p>
    <w:p w14:paraId="625C79E8"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10BD9CB7"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percentage of their income than do the rich, in other words, a tax which impacts </w:t>
      </w:r>
    </w:p>
    <w:p w14:paraId="5531CD61"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72A0E537"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the poor in a harsher manner than the rich. Professionals in the public health </w:t>
      </w:r>
    </w:p>
    <w:p w14:paraId="21866D29"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3D16933D"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sectors have historically supported increases in cigarette taxes on the basis that </w:t>
      </w:r>
    </w:p>
    <w:p w14:paraId="261B60BB"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035AAA0C"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such increases have been shown to reduce cigarette consumption. Cigarette taxes </w:t>
      </w:r>
    </w:p>
    <w:p w14:paraId="483A461B"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7EA0590A"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have been found to be regressive for at least two reasons. First and foremost, </w:t>
      </w:r>
    </w:p>
    <w:p w14:paraId="6884CFAA"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4A1F907D"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lastRenderedPageBreak/>
        <w:t xml:space="preserve">excise and sales taxes are historically regressive in large part because the rich </w:t>
      </w:r>
    </w:p>
    <w:p w14:paraId="37F6DC2F"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1469C993"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possess a greater amount of disposable income than the poor, and likewise the </w:t>
      </w:r>
    </w:p>
    <w:p w14:paraId="3966BF5B"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35C7CD51"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poor tend to spend a much greater share of their disposable income on consumer </w:t>
      </w:r>
    </w:p>
    <w:p w14:paraId="4D1C6C4D"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56739193"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goods, such as tobacco products.  Secondly, in view of the fact that the incidence or </w:t>
      </w:r>
    </w:p>
    <w:p w14:paraId="2AA498CF"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0786FFF7"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prevalence of smoking has been demonstrated to be higher among the poor, </w:t>
      </w:r>
    </w:p>
    <w:p w14:paraId="61165423"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30A69F67"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there is some validity to the argument that cigarettes would be disproportionately </w:t>
      </w:r>
    </w:p>
    <w:p w14:paraId="033E0059"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7CA00635"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consumed by the poor.</w:t>
      </w:r>
      <w:r w:rsidRPr="00DF23EB">
        <w:rPr>
          <w:rFonts w:ascii="Open Sans" w:eastAsia="Times New Roman" w:hAnsi="Open Sans" w:cs="Open Sans"/>
          <w:color w:val="000000"/>
          <w:sz w:val="24"/>
          <w:szCs w:val="24"/>
          <w:vertAlign w:val="superscript"/>
        </w:rPr>
        <w:footnoteReference w:id="30"/>
      </w:r>
    </w:p>
    <w:p w14:paraId="221B2215"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05F74FBB"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 </w:t>
      </w:r>
      <w:r w:rsidRPr="00DF23EB">
        <w:rPr>
          <w:rFonts w:ascii="Open Sans" w:eastAsia="Times New Roman" w:hAnsi="Open Sans" w:cs="Open Sans"/>
          <w:color w:val="000000"/>
          <w:sz w:val="24"/>
          <w:szCs w:val="24"/>
        </w:rPr>
        <w:tab/>
        <w:t xml:space="preserve">While the regressivity of tobacco taxes is a valid concern, that particular issue </w:t>
      </w:r>
    </w:p>
    <w:p w14:paraId="7BBA7313"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3ADD9E4F"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should be balanced against the greater burden of illness and death caused by </w:t>
      </w:r>
    </w:p>
    <w:p w14:paraId="630F00A8"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51992391"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tobacco use which is borne to a greater degree by the poor.</w:t>
      </w:r>
      <w:r w:rsidRPr="00DF23EB">
        <w:rPr>
          <w:rFonts w:ascii="Open Sans" w:eastAsia="Times New Roman" w:hAnsi="Open Sans" w:cs="Open Sans"/>
          <w:color w:val="000000"/>
          <w:sz w:val="24"/>
          <w:szCs w:val="24"/>
          <w:vertAlign w:val="superscript"/>
        </w:rPr>
        <w:footnoteReference w:id="31"/>
      </w:r>
      <w:r w:rsidRPr="00DF23EB">
        <w:rPr>
          <w:rFonts w:ascii="Open Sans" w:eastAsia="Times New Roman" w:hAnsi="Open Sans" w:cs="Open Sans"/>
          <w:color w:val="000000"/>
          <w:sz w:val="24"/>
          <w:szCs w:val="24"/>
        </w:rPr>
        <w:t xml:space="preserve"> For the </w:t>
      </w:r>
    </w:p>
    <w:p w14:paraId="7AF65926"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57C70116"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underprivileged as a class, the regressive hardship brought about by significant </w:t>
      </w:r>
    </w:p>
    <w:p w14:paraId="0881939E"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6E08DA14"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increases in tobacco prices resulting from higher tobacco taxes is seemingly </w:t>
      </w:r>
    </w:p>
    <w:p w14:paraId="64A32E9E"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63405F41"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outweighed by the much more important reduction in human suffering and </w:t>
      </w:r>
    </w:p>
    <w:p w14:paraId="3793241E"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22DD7522"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premature death caused from reduced consumption of tobacco.</w:t>
      </w:r>
      <w:r w:rsidRPr="00DF23EB">
        <w:rPr>
          <w:rFonts w:ascii="Open Sans" w:eastAsia="Times New Roman" w:hAnsi="Open Sans" w:cs="Open Sans"/>
          <w:color w:val="000000"/>
          <w:sz w:val="24"/>
          <w:szCs w:val="24"/>
          <w:vertAlign w:val="superscript"/>
        </w:rPr>
        <w:footnoteReference w:id="32"/>
      </w:r>
    </w:p>
    <w:p w14:paraId="24E351D9"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3FC7CA06" w14:textId="77777777" w:rsidR="00DF23EB" w:rsidRPr="00DF23EB" w:rsidRDefault="00DF23EB" w:rsidP="00DF23EB">
      <w:pPr>
        <w:spacing w:after="0" w:line="240" w:lineRule="auto"/>
        <w:ind w:firstLine="72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West Virginia is certainly a prime example of a state which has long been </w:t>
      </w:r>
    </w:p>
    <w:p w14:paraId="6E9E1A00"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42585954"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recognized as one of the poorest in the country. West Virginia’s median household </w:t>
      </w:r>
    </w:p>
    <w:p w14:paraId="5267B193"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6F1427DF"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income was an estimated $48,850 in 2019, $16,862 below the national average. </w:t>
      </w:r>
    </w:p>
    <w:p w14:paraId="734A7D2F"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0BB178ED"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While West Virginia’s median household increased in 2019, adjusted for inflation, </w:t>
      </w:r>
    </w:p>
    <w:p w14:paraId="3278D186"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600AC8B6"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West Virginia still had the 2nd lowest median household income among the fifty </w:t>
      </w:r>
    </w:p>
    <w:p w14:paraId="18C2CF74"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049D46BF"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states.</w:t>
      </w:r>
      <w:r w:rsidRPr="00DF23EB">
        <w:rPr>
          <w:rFonts w:ascii="Open Sans" w:eastAsia="Times New Roman" w:hAnsi="Open Sans" w:cs="Open Sans"/>
          <w:color w:val="000000"/>
          <w:sz w:val="24"/>
          <w:szCs w:val="24"/>
          <w:vertAlign w:val="superscript"/>
        </w:rPr>
        <w:footnoteReference w:id="33"/>
      </w:r>
      <w:r w:rsidRPr="00DF23EB">
        <w:rPr>
          <w:rFonts w:ascii="Open Sans" w:eastAsia="Times New Roman" w:hAnsi="Open Sans" w:cs="Open Sans"/>
          <w:color w:val="000000"/>
          <w:sz w:val="24"/>
          <w:szCs w:val="24"/>
        </w:rPr>
        <w:t xml:space="preserve"> Combine West Virginia’s poor economic standing with the fact that it also </w:t>
      </w:r>
    </w:p>
    <w:p w14:paraId="20AFCA4E"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12F0DFAA"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possesses the country’s leading smoking rate among adults of approximately 26% </w:t>
      </w:r>
    </w:p>
    <w:p w14:paraId="3DC1419E"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39FF2177"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severely compounds the problems associated with smoking.  The only logical and </w:t>
      </w:r>
    </w:p>
    <w:p w14:paraId="0BB3AE9F"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073EBBD1"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reasonable manner to reduce the high smoking rate in a poor state like West </w:t>
      </w:r>
    </w:p>
    <w:p w14:paraId="0CB8014B"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0A164ED9"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Virginia is to both increase the cigarette excise tax and to also increase funding in </w:t>
      </w:r>
    </w:p>
    <w:p w14:paraId="14DBA1F1"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48E05C7D"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regard to smoking cessation measures.</w:t>
      </w:r>
    </w:p>
    <w:p w14:paraId="6248FB41"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24DBD045"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1FD1B0E0" w14:textId="77777777" w:rsidR="00DF23EB" w:rsidRPr="00DF23EB" w:rsidRDefault="00DF23EB" w:rsidP="00DF23EB">
      <w:pPr>
        <w:spacing w:after="0" w:line="240" w:lineRule="auto"/>
        <w:jc w:val="both"/>
        <w:rPr>
          <w:rFonts w:ascii="Times New Roman" w:eastAsia="Calibri" w:hAnsi="Times New Roman" w:cs="Times New Roman"/>
          <w:bCs/>
          <w:sz w:val="24"/>
          <w:szCs w:val="24"/>
        </w:rPr>
      </w:pPr>
      <w:r w:rsidRPr="00DF23EB">
        <w:rPr>
          <w:rFonts w:ascii="Times New Roman" w:eastAsia="Calibri" w:hAnsi="Times New Roman" w:cs="Times New Roman"/>
          <w:bCs/>
          <w:sz w:val="28"/>
          <w:szCs w:val="28"/>
        </w:rPr>
        <w:t>Smoking Rates by state: 2023</w:t>
      </w:r>
    </w:p>
    <w:p w14:paraId="4A7B31A1" w14:textId="77777777" w:rsidR="00DF23EB" w:rsidRPr="00DF23EB" w:rsidRDefault="00DF23EB" w:rsidP="00DF23EB">
      <w:pPr>
        <w:spacing w:after="0" w:line="240" w:lineRule="auto"/>
        <w:jc w:val="both"/>
        <w:rPr>
          <w:rFonts w:ascii="Times New Roman" w:eastAsia="Calibri" w:hAnsi="Times New Roman" w:cs="Times New Roman"/>
          <w:bCs/>
          <w:sz w:val="28"/>
          <w:szCs w:val="28"/>
        </w:rPr>
      </w:pPr>
    </w:p>
    <w:p w14:paraId="732BC66D"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West Virginia          26.0%</w:t>
      </w:r>
    </w:p>
    <w:p w14:paraId="716834BD"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Kentucky                 24.6%</w:t>
      </w:r>
    </w:p>
    <w:p w14:paraId="45BC1B4A"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Louisiana                 23.1%</w:t>
      </w:r>
    </w:p>
    <w:p w14:paraId="5C6FBD9F"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Tennessee                22.6%</w:t>
      </w:r>
    </w:p>
    <w:p w14:paraId="45CA7180"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Arkansas                  22.3%</w:t>
      </w:r>
    </w:p>
    <w:p w14:paraId="02711531"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Mississippi               22.2%</w:t>
      </w:r>
    </w:p>
    <w:p w14:paraId="4746BC89"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Indiana                     21.8%</w:t>
      </w:r>
    </w:p>
    <w:p w14:paraId="7FBBB566"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Ohio                         21.1%</w:t>
      </w:r>
    </w:p>
    <w:p w14:paraId="5F2B14E5"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Alaska                      21.0%</w:t>
      </w:r>
    </w:p>
    <w:p w14:paraId="12CD855D"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Alabama                   20.9%</w:t>
      </w:r>
    </w:p>
    <w:p w14:paraId="7181F109"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Missouri                   20.8%</w:t>
      </w:r>
    </w:p>
    <w:p w14:paraId="2108E593"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Oklahoma                 20.1%</w:t>
      </w:r>
    </w:p>
    <w:p w14:paraId="6D5C0341"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Michigan                  19.4%</w:t>
      </w:r>
    </w:p>
    <w:p w14:paraId="7DF5C00F"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South Dakota            19.3%</w:t>
      </w:r>
    </w:p>
    <w:p w14:paraId="57D5EB92"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South Carolina         18.8%</w:t>
      </w:r>
    </w:p>
    <w:p w14:paraId="44BB1E13"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Pennsylvania            18.7%</w:t>
      </w:r>
    </w:p>
    <w:p w14:paraId="597D972B"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 xml:space="preserve">Wyoming                  18.7%  </w:t>
      </w:r>
    </w:p>
    <w:p w14:paraId="421D2569"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North Dakota            18.3%</w:t>
      </w:r>
    </w:p>
    <w:p w14:paraId="73311059"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Nevada                      17.6%</w:t>
      </w:r>
    </w:p>
    <w:p w14:paraId="3C4D130E"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Georgia                     17.5%</w:t>
      </w:r>
    </w:p>
    <w:p w14:paraId="73E0C923"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lastRenderedPageBreak/>
        <w:t>New Mexico             17.5%</w:t>
      </w:r>
    </w:p>
    <w:p w14:paraId="119147BE"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Kansas                      17.4%</w:t>
      </w:r>
    </w:p>
    <w:p w14:paraId="0D79F99A"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Maine                       17.3%</w:t>
      </w:r>
    </w:p>
    <w:p w14:paraId="1B69378E"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Montana                   17.2%</w:t>
      </w:r>
    </w:p>
    <w:p w14:paraId="2E84F550"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North Carolina         17.2%</w:t>
      </w:r>
    </w:p>
    <w:p w14:paraId="3DC3D6C7"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Iowa                         17.1%</w:t>
      </w:r>
    </w:p>
    <w:p w14:paraId="1D136C88"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Delaware                  17.0%</w:t>
      </w:r>
    </w:p>
    <w:p w14:paraId="0D3767E3"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Virginia                    16.4%</w:t>
      </w:r>
    </w:p>
    <w:p w14:paraId="21993813"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Florida                      16.1%</w:t>
      </w:r>
    </w:p>
    <w:p w14:paraId="0E08E4C2"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Oregon                      16.1%</w:t>
      </w:r>
    </w:p>
    <w:p w14:paraId="063C8E44"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Wisconsin                 16.0%</w:t>
      </w:r>
    </w:p>
    <w:p w14:paraId="5C2A8B7C"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Vermont                    15.8%</w:t>
      </w:r>
    </w:p>
    <w:p w14:paraId="67360A82"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New Hampshire        15.7%</w:t>
      </w:r>
    </w:p>
    <w:p w14:paraId="1F3DFDBD"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Texas                         15.7%</w:t>
      </w:r>
    </w:p>
    <w:p w14:paraId="283BED57"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Arizona                     15.6%</w:t>
      </w:r>
    </w:p>
    <w:p w14:paraId="1E0CE67E"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Illinois                       15.5%</w:t>
      </w:r>
    </w:p>
    <w:p w14:paraId="6FF338FA"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Nebraska                   15.4%</w:t>
      </w:r>
    </w:p>
    <w:p w14:paraId="60DDBA6A"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Rhode Island             14.9%</w:t>
      </w:r>
    </w:p>
    <w:p w14:paraId="35456E6B"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Colorado                   14.6%</w:t>
      </w:r>
    </w:p>
    <w:p w14:paraId="43A9C6A7"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Minnesota                 14.5%</w:t>
      </w:r>
    </w:p>
    <w:p w14:paraId="6336CEF4"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District of Columbia 14.3%</w:t>
      </w:r>
    </w:p>
    <w:p w14:paraId="48AE621F"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Idaho                         14.3%</w:t>
      </w:r>
    </w:p>
    <w:p w14:paraId="64F72649"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New York                  14.1%</w:t>
      </w:r>
    </w:p>
    <w:p w14:paraId="7884B55A"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Maryland                   13.8%</w:t>
      </w:r>
    </w:p>
    <w:p w14:paraId="162E410C"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Massachusetts            13.7%</w:t>
      </w:r>
    </w:p>
    <w:p w14:paraId="07822CE0"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New Jersey                13.7%</w:t>
      </w:r>
    </w:p>
    <w:p w14:paraId="280033BD"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Washington               13.5%</w:t>
      </w:r>
    </w:p>
    <w:p w14:paraId="2ACDB380"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Hawaii                       12.8%</w:t>
      </w:r>
    </w:p>
    <w:p w14:paraId="306C072C"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Connecticut               12.7%</w:t>
      </w:r>
    </w:p>
    <w:p w14:paraId="3B5BFC60"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California                  11.3%</w:t>
      </w:r>
    </w:p>
    <w:p w14:paraId="52EDBD19" w14:textId="77777777" w:rsidR="00DF23EB" w:rsidRPr="00DF23EB" w:rsidRDefault="00DF23EB" w:rsidP="00DF23EB">
      <w:pPr>
        <w:numPr>
          <w:ilvl w:val="0"/>
          <w:numId w:val="11"/>
        </w:numPr>
        <w:spacing w:after="0" w:line="240" w:lineRule="auto"/>
        <w:contextualSpacing/>
        <w:jc w:val="both"/>
        <w:rPr>
          <w:rFonts w:ascii="Times New Roman" w:eastAsia="Calibri" w:hAnsi="Times New Roman" w:cs="Times New Roman"/>
          <w:bCs/>
          <w:sz w:val="28"/>
          <w:szCs w:val="28"/>
        </w:rPr>
      </w:pPr>
      <w:r w:rsidRPr="00DF23EB">
        <w:rPr>
          <w:rFonts w:ascii="Times New Roman" w:eastAsia="Calibri" w:hAnsi="Times New Roman" w:cs="Times New Roman"/>
          <w:bCs/>
          <w:sz w:val="24"/>
          <w:szCs w:val="24"/>
        </w:rPr>
        <w:t>Utah                            8.9%</w:t>
      </w:r>
    </w:p>
    <w:p w14:paraId="057C5A34" w14:textId="77777777" w:rsidR="00DF23EB" w:rsidRPr="00DF23EB" w:rsidRDefault="00DF23EB" w:rsidP="00DF23EB">
      <w:pPr>
        <w:spacing w:after="0" w:line="240" w:lineRule="auto"/>
        <w:ind w:left="720"/>
        <w:jc w:val="both"/>
        <w:rPr>
          <w:rFonts w:ascii="Times New Roman" w:eastAsia="Calibri" w:hAnsi="Times New Roman" w:cs="Times New Roman"/>
          <w:bCs/>
          <w:sz w:val="24"/>
          <w:szCs w:val="20"/>
        </w:rPr>
      </w:pPr>
    </w:p>
    <w:p w14:paraId="0E9D2282" w14:textId="77777777" w:rsidR="00DF23EB" w:rsidRPr="00DF23EB" w:rsidRDefault="00DF23EB" w:rsidP="00DF23EB">
      <w:pPr>
        <w:spacing w:after="0" w:line="240" w:lineRule="auto"/>
        <w:ind w:left="720"/>
        <w:jc w:val="both"/>
        <w:rPr>
          <w:rFonts w:ascii="Times New Roman" w:eastAsia="Calibri" w:hAnsi="Times New Roman" w:cs="Times New Roman"/>
          <w:bCs/>
          <w:sz w:val="24"/>
          <w:szCs w:val="24"/>
          <w:bdr w:val="single" w:sz="2" w:space="0" w:color="E5E7EB" w:frame="1"/>
        </w:rPr>
      </w:pPr>
    </w:p>
    <w:p w14:paraId="3D418FBF" w14:textId="77777777" w:rsidR="00DF23EB" w:rsidRPr="00DF23EB" w:rsidRDefault="00DF23EB" w:rsidP="00DF23EB">
      <w:pPr>
        <w:spacing w:after="0" w:line="240" w:lineRule="auto"/>
        <w:ind w:left="720"/>
        <w:jc w:val="both"/>
        <w:rPr>
          <w:rFonts w:ascii="Times New Roman" w:eastAsia="Calibri" w:hAnsi="Times New Roman" w:cs="Times New Roman"/>
          <w:b/>
          <w:sz w:val="24"/>
          <w:szCs w:val="24"/>
          <w:bdr w:val="single" w:sz="2" w:space="0" w:color="E5E7EB" w:frame="1"/>
        </w:rPr>
      </w:pPr>
    </w:p>
    <w:p w14:paraId="173466E9" w14:textId="77777777" w:rsidR="00DF23EB" w:rsidRPr="00DF23EB" w:rsidRDefault="00DF23EB" w:rsidP="00DF23EB">
      <w:pPr>
        <w:numPr>
          <w:ilvl w:val="0"/>
          <w:numId w:val="12"/>
        </w:numPr>
        <w:spacing w:after="0" w:line="240" w:lineRule="auto"/>
        <w:jc w:val="both"/>
        <w:rPr>
          <w:rFonts w:ascii="Open Sans" w:eastAsia="Times New Roman" w:hAnsi="Open Sans" w:cs="Open Sans"/>
          <w:b/>
          <w:bCs/>
          <w:color w:val="000000"/>
          <w:sz w:val="28"/>
          <w:szCs w:val="28"/>
        </w:rPr>
      </w:pPr>
      <w:r w:rsidRPr="00DF23EB">
        <w:rPr>
          <w:rFonts w:ascii="Open Sans" w:eastAsia="Times New Roman" w:hAnsi="Open Sans" w:cs="Open Sans"/>
          <w:b/>
          <w:bCs/>
          <w:color w:val="000000"/>
          <w:sz w:val="28"/>
          <w:szCs w:val="28"/>
        </w:rPr>
        <w:t xml:space="preserve"> The Imposition of a Federal Excise Tax on E-Cigarettes is Critical and Should Lead to a Significant Reduction in Adolescent Smoking and Vaping</w:t>
      </w:r>
    </w:p>
    <w:p w14:paraId="505CA7EC" w14:textId="77777777" w:rsidR="00DF23EB" w:rsidRPr="00DF23EB" w:rsidRDefault="00DF23EB" w:rsidP="00DF23EB">
      <w:pPr>
        <w:spacing w:after="0" w:line="240" w:lineRule="auto"/>
        <w:ind w:left="720"/>
        <w:jc w:val="both"/>
        <w:rPr>
          <w:rFonts w:ascii="Open Sans" w:eastAsia="Times New Roman" w:hAnsi="Open Sans" w:cs="Open Sans"/>
          <w:b/>
          <w:bCs/>
          <w:color w:val="000000"/>
          <w:sz w:val="28"/>
          <w:szCs w:val="28"/>
        </w:rPr>
      </w:pPr>
    </w:p>
    <w:p w14:paraId="0DA2FA2E" w14:textId="77777777" w:rsidR="00DF23EB" w:rsidRPr="00DF23EB" w:rsidRDefault="00DF23EB" w:rsidP="00DF23EB">
      <w:pPr>
        <w:spacing w:after="0" w:line="240" w:lineRule="auto"/>
        <w:ind w:left="72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The utilization of electronic cigarettes, otherwise known as vaping , has</w:t>
      </w:r>
    </w:p>
    <w:p w14:paraId="40646A56"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675044D9"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rapidly become one of the more popular tobacco products for youth and </w:t>
      </w:r>
    </w:p>
    <w:p w14:paraId="0D6E3059"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57416EF1"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adolescents in the United States and is seemingly leading young smokers to </w:t>
      </w:r>
    </w:p>
    <w:p w14:paraId="0449FEA1"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25BA0942"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lastRenderedPageBreak/>
        <w:t xml:space="preserve">become addicted to nicotine.  The legal age to purchase e-cigarettes varies </w:t>
      </w:r>
    </w:p>
    <w:p w14:paraId="6D01E73D"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7D110D30"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anywhere from 18-21 in most states, but studies show that West Virginia is one </w:t>
      </w:r>
    </w:p>
    <w:p w14:paraId="1233D85C"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6A0006E1"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particular jurisdiction where the greatest number of high school students admit to </w:t>
      </w:r>
    </w:p>
    <w:p w14:paraId="1E14CE31"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1F36E939"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underage vaping.</w:t>
      </w:r>
      <w:r w:rsidRPr="00DF23EB">
        <w:rPr>
          <w:rFonts w:ascii="Open Sans" w:eastAsia="Times New Roman" w:hAnsi="Open Sans" w:cs="Open Sans"/>
          <w:color w:val="000000"/>
          <w:sz w:val="24"/>
          <w:szCs w:val="24"/>
          <w:vertAlign w:val="superscript"/>
        </w:rPr>
        <w:footnoteReference w:id="34"/>
      </w:r>
      <w:r w:rsidRPr="00DF23EB">
        <w:rPr>
          <w:rFonts w:ascii="Open Sans" w:eastAsia="Times New Roman" w:hAnsi="Open Sans" w:cs="Open Sans"/>
          <w:color w:val="000000"/>
          <w:sz w:val="24"/>
          <w:szCs w:val="24"/>
        </w:rPr>
        <w:t xml:space="preserve"> The following is a state ranking of the percentage of high school </w:t>
      </w:r>
    </w:p>
    <w:p w14:paraId="189DE4C2"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7C5DB107"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students who have reported vaping</w:t>
      </w:r>
      <w:r w:rsidRPr="00DF23EB">
        <w:rPr>
          <w:rFonts w:ascii="Open Sans" w:eastAsia="Times New Roman" w:hAnsi="Open Sans" w:cs="Open Sans"/>
          <w:color w:val="000000"/>
          <w:sz w:val="24"/>
          <w:szCs w:val="24"/>
          <w:vertAlign w:val="superscript"/>
        </w:rPr>
        <w:footnoteReference w:id="35"/>
      </w:r>
      <w:r w:rsidRPr="00DF23EB">
        <w:rPr>
          <w:rFonts w:ascii="Open Sans" w:eastAsia="Times New Roman" w:hAnsi="Open Sans" w:cs="Open Sans"/>
          <w:color w:val="000000"/>
          <w:sz w:val="24"/>
          <w:szCs w:val="24"/>
        </w:rPr>
        <w:t>:</w:t>
      </w:r>
    </w:p>
    <w:p w14:paraId="315D4F7B" w14:textId="77777777" w:rsidR="00DF23EB" w:rsidRPr="00DF23EB" w:rsidRDefault="00DF23EB" w:rsidP="00DF23EB">
      <w:pPr>
        <w:spacing w:after="0" w:line="240" w:lineRule="auto"/>
        <w:jc w:val="both"/>
        <w:rPr>
          <w:rFonts w:ascii="Open Sans" w:eastAsia="Times New Roman" w:hAnsi="Open Sans" w:cs="Open Sans"/>
          <w:color w:val="000000"/>
          <w:sz w:val="28"/>
          <w:szCs w:val="28"/>
        </w:rPr>
      </w:pPr>
    </w:p>
    <w:p w14:paraId="63BEF7ED" w14:textId="77777777" w:rsidR="00DF23EB" w:rsidRPr="00DF23EB" w:rsidRDefault="00DF23EB" w:rsidP="00DF23EB">
      <w:pPr>
        <w:numPr>
          <w:ilvl w:val="0"/>
          <w:numId w:val="13"/>
        </w:num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West Virginia        35.7%</w:t>
      </w:r>
    </w:p>
    <w:p w14:paraId="303A1B8F" w14:textId="77777777" w:rsidR="00DF23EB" w:rsidRPr="00DF23EB" w:rsidRDefault="00DF23EB" w:rsidP="00DF23EB">
      <w:pPr>
        <w:numPr>
          <w:ilvl w:val="0"/>
          <w:numId w:val="13"/>
        </w:num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North Carolina     35.5%</w:t>
      </w:r>
    </w:p>
    <w:p w14:paraId="40401C55" w14:textId="77777777" w:rsidR="00DF23EB" w:rsidRPr="00DF23EB" w:rsidRDefault="00DF23EB" w:rsidP="00DF23EB">
      <w:pPr>
        <w:numPr>
          <w:ilvl w:val="0"/>
          <w:numId w:val="13"/>
        </w:num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New Mexico         34.0%</w:t>
      </w:r>
    </w:p>
    <w:p w14:paraId="768BCB7B" w14:textId="77777777" w:rsidR="00DF23EB" w:rsidRPr="00DF23EB" w:rsidRDefault="00DF23EB" w:rsidP="00DF23EB">
      <w:pPr>
        <w:numPr>
          <w:ilvl w:val="0"/>
          <w:numId w:val="13"/>
        </w:num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New Hampshire  33.8%</w:t>
      </w:r>
    </w:p>
    <w:p w14:paraId="6C0A2F62" w14:textId="77777777" w:rsidR="00DF23EB" w:rsidRPr="00DF23EB" w:rsidRDefault="00DF23EB" w:rsidP="00DF23EB">
      <w:pPr>
        <w:numPr>
          <w:ilvl w:val="0"/>
          <w:numId w:val="13"/>
        </w:num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North Dakota       33.1%</w:t>
      </w:r>
    </w:p>
    <w:p w14:paraId="5DC8ACA0" w14:textId="77777777" w:rsidR="00DF23EB" w:rsidRPr="00DF23EB" w:rsidRDefault="00DF23EB" w:rsidP="00DF23EB">
      <w:pPr>
        <w:numPr>
          <w:ilvl w:val="0"/>
          <w:numId w:val="13"/>
        </w:num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Massachusetts     32.2%</w:t>
      </w:r>
    </w:p>
    <w:p w14:paraId="769350DC" w14:textId="77777777" w:rsidR="00DF23EB" w:rsidRPr="00DF23EB" w:rsidRDefault="00DF23EB" w:rsidP="00DF23EB">
      <w:pPr>
        <w:numPr>
          <w:ilvl w:val="0"/>
          <w:numId w:val="13"/>
        </w:num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Hawaii                    30.6%</w:t>
      </w:r>
    </w:p>
    <w:p w14:paraId="0C9206DB" w14:textId="77777777" w:rsidR="00DF23EB" w:rsidRPr="00DF23EB" w:rsidRDefault="00DF23EB" w:rsidP="00DF23EB">
      <w:pPr>
        <w:numPr>
          <w:ilvl w:val="0"/>
          <w:numId w:val="13"/>
        </w:num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Maine                     30.2%</w:t>
      </w:r>
    </w:p>
    <w:p w14:paraId="591DA7A5" w14:textId="77777777" w:rsidR="00DF23EB" w:rsidRPr="00DF23EB" w:rsidRDefault="00DF23EB" w:rsidP="00DF23EB">
      <w:pPr>
        <w:numPr>
          <w:ilvl w:val="0"/>
          <w:numId w:val="13"/>
        </w:num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Montana                30.2%</w:t>
      </w:r>
    </w:p>
    <w:p w14:paraId="61B54599"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10)Rhode Island        30.1%</w:t>
      </w:r>
    </w:p>
    <w:p w14:paraId="023BE490"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11)Ohio                       29.8%</w:t>
      </w:r>
    </w:p>
    <w:p w14:paraId="4EBC23F4"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12)Colorado               28.9%</w:t>
      </w:r>
    </w:p>
    <w:p w14:paraId="22BC37F6"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13)Oklahoma             27.8%</w:t>
      </w:r>
    </w:p>
    <w:p w14:paraId="29BBAD90"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14)New Jersey            27.8%</w:t>
      </w:r>
    </w:p>
    <w:p w14:paraId="1FFE34F2"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15)Connecticut           27.0%</w:t>
      </w:r>
    </w:p>
    <w:p w14:paraId="7641F443"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16)Vermont                 26.4%</w:t>
      </w:r>
    </w:p>
    <w:p w14:paraId="5B44B210"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17)Kentucky                26.1%</w:t>
      </w:r>
    </w:p>
    <w:p w14:paraId="756FF63D"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18)Alaska                     26.1%</w:t>
      </w:r>
    </w:p>
    <w:p w14:paraId="6346679C"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19)Pennsylvania         24.4%</w:t>
      </w:r>
    </w:p>
    <w:p w14:paraId="1F01C9C7"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20)Arkansas                24.3%</w:t>
      </w:r>
    </w:p>
    <w:p w14:paraId="22A6A5AC"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21)Nevada                   24.1%</w:t>
      </w:r>
    </w:p>
    <w:p w14:paraId="6E2E6ACF"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22)South Dakota        23.9%</w:t>
      </w:r>
    </w:p>
    <w:p w14:paraId="05C4714D"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23)Maryland                23.0%</w:t>
      </w:r>
    </w:p>
    <w:p w14:paraId="5C3B523D"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24)Louisiana                22.9%</w:t>
      </w:r>
    </w:p>
    <w:p w14:paraId="6ACEE1FF"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8"/>
          <w:szCs w:val="28"/>
        </w:rPr>
        <w:t>25</w:t>
      </w:r>
      <w:r w:rsidRPr="00DF23EB">
        <w:rPr>
          <w:rFonts w:ascii="Open Sans" w:eastAsia="Times New Roman" w:hAnsi="Open Sans" w:cs="Open Sans"/>
          <w:color w:val="000000"/>
          <w:sz w:val="24"/>
          <w:szCs w:val="24"/>
        </w:rPr>
        <w:t>)New York                22.4%</w:t>
      </w:r>
    </w:p>
    <w:p w14:paraId="1DC0ECCC"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26)Tennessee              22.1%</w:t>
      </w:r>
    </w:p>
    <w:p w14:paraId="0D491D03"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27)Kansas                     22.0%</w:t>
      </w:r>
    </w:p>
    <w:p w14:paraId="48EAB9D5"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8"/>
          <w:szCs w:val="28"/>
        </w:rPr>
        <w:lastRenderedPageBreak/>
        <w:t>28)</w:t>
      </w:r>
      <w:r w:rsidRPr="00DF23EB">
        <w:rPr>
          <w:rFonts w:ascii="Open Sans" w:eastAsia="Times New Roman" w:hAnsi="Open Sans" w:cs="Open Sans"/>
          <w:color w:val="000000"/>
          <w:sz w:val="24"/>
          <w:szCs w:val="24"/>
        </w:rPr>
        <w:t>Idaho                      21.5%</w:t>
      </w:r>
    </w:p>
    <w:p w14:paraId="6FE7EDA1"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29)Mississippi              21.4%</w:t>
      </w:r>
    </w:p>
    <w:p w14:paraId="2F941DBE"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30)South Carolina       21.1%</w:t>
      </w:r>
    </w:p>
    <w:p w14:paraId="6045DD5C"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31)Michigan                  20.8%</w:t>
      </w:r>
    </w:p>
    <w:p w14:paraId="7349FC5E"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32)Missouri                   20.7%</w:t>
      </w:r>
    </w:p>
    <w:p w14:paraId="78639C34"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33)Wisconsin                 20.6%</w:t>
      </w:r>
    </w:p>
    <w:p w14:paraId="206C730D"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34)Iowa                           20.1%</w:t>
      </w:r>
    </w:p>
    <w:p w14:paraId="7B866C72"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35)Virginia                      19.9%</w:t>
      </w:r>
    </w:p>
    <w:p w14:paraId="6EFB507D"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36)Illinois                        19.9% </w:t>
      </w:r>
    </w:p>
    <w:p w14:paraId="3A4BCE03"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37)Alabama                    19.4%  </w:t>
      </w:r>
    </w:p>
    <w:p w14:paraId="092B13A6"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38)Texas                          18.7%    </w:t>
      </w:r>
    </w:p>
    <w:p w14:paraId="549D7084"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39)California                    18.2%   </w:t>
      </w:r>
    </w:p>
    <w:p w14:paraId="36F24E0C"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40)Arizona                        17.9%</w:t>
      </w:r>
    </w:p>
    <w:p w14:paraId="08A8F0E3"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41)Nebraska                     17.1%</w:t>
      </w:r>
    </w:p>
    <w:p w14:paraId="542DF5BA"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42)Georgia                         17.0%</w:t>
      </w:r>
    </w:p>
    <w:p w14:paraId="0238C26E"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43)Utah                                 9.7%</w:t>
      </w:r>
    </w:p>
    <w:p w14:paraId="5687B1FA"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      Delaware                    No data available</w:t>
      </w:r>
    </w:p>
    <w:p w14:paraId="2EC3B09F"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      District of Columbia  No data available</w:t>
      </w:r>
    </w:p>
    <w:p w14:paraId="245B845A"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      Florida                         No data available</w:t>
      </w:r>
    </w:p>
    <w:p w14:paraId="65F13A33"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      Indiana                        No data available</w:t>
      </w:r>
    </w:p>
    <w:p w14:paraId="725297A2"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      Minnesota                   No data available</w:t>
      </w:r>
    </w:p>
    <w:p w14:paraId="65900B46"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      Oregon                        No data available</w:t>
      </w:r>
    </w:p>
    <w:p w14:paraId="620D6C25"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      Washington                No data available</w:t>
      </w:r>
    </w:p>
    <w:p w14:paraId="37FAC0FA"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      Wyoming                     No data available</w:t>
      </w:r>
    </w:p>
    <w:p w14:paraId="29CA0220" w14:textId="77777777" w:rsidR="00DF23EB" w:rsidRPr="00DF23EB" w:rsidRDefault="00DF23EB" w:rsidP="00DF23EB">
      <w:pPr>
        <w:spacing w:after="0" w:line="240" w:lineRule="auto"/>
        <w:ind w:left="360"/>
        <w:jc w:val="both"/>
        <w:rPr>
          <w:rFonts w:ascii="Open Sans" w:eastAsia="Times New Roman" w:hAnsi="Open Sans" w:cs="Open Sans"/>
          <w:color w:val="000000"/>
          <w:sz w:val="24"/>
          <w:szCs w:val="24"/>
        </w:rPr>
      </w:pPr>
    </w:p>
    <w:p w14:paraId="45C04E28" w14:textId="77777777" w:rsidR="00DF23EB" w:rsidRPr="00DF23EB" w:rsidRDefault="00DF23EB" w:rsidP="00DF23EB">
      <w:pPr>
        <w:spacing w:after="0" w:line="240" w:lineRule="auto"/>
        <w:ind w:left="360" w:firstLine="360"/>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In addition, 17% of West Virginia middle schoolers are reported to be vaping,</w:t>
      </w:r>
    </w:p>
    <w:p w14:paraId="7D8327C6"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2B99CF91"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a figure which is more than five times the national average.</w:t>
      </w:r>
      <w:r w:rsidRPr="00DF23EB">
        <w:rPr>
          <w:rFonts w:ascii="Open Sans" w:eastAsia="Times New Roman" w:hAnsi="Open Sans" w:cs="Open Sans"/>
          <w:color w:val="000000"/>
          <w:sz w:val="24"/>
          <w:szCs w:val="24"/>
          <w:vertAlign w:val="superscript"/>
        </w:rPr>
        <w:footnoteReference w:id="36"/>
      </w:r>
      <w:r w:rsidRPr="00DF23EB">
        <w:rPr>
          <w:rFonts w:ascii="Open Sans" w:eastAsia="Times New Roman" w:hAnsi="Open Sans" w:cs="Open Sans"/>
          <w:color w:val="000000"/>
          <w:sz w:val="24"/>
          <w:szCs w:val="24"/>
        </w:rPr>
        <w:t xml:space="preserve">  The danger and </w:t>
      </w:r>
    </w:p>
    <w:p w14:paraId="46BCB23C"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500E895A"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obvious addition of vaping products to adolescents residing in states like West </w:t>
      </w:r>
    </w:p>
    <w:p w14:paraId="58B82E91"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2CDF4798"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Virginia can easily be demonstrated by referencing a national study completed in </w:t>
      </w:r>
    </w:p>
    <w:p w14:paraId="0CCA60AC"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4AEB60C7"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2021.</w:t>
      </w:r>
      <w:r w:rsidRPr="00DF23EB">
        <w:rPr>
          <w:rFonts w:ascii="Open Sans" w:eastAsia="Times New Roman" w:hAnsi="Open Sans" w:cs="Open Sans"/>
          <w:color w:val="000000"/>
          <w:sz w:val="24"/>
          <w:szCs w:val="24"/>
          <w:vertAlign w:val="superscript"/>
        </w:rPr>
        <w:footnoteReference w:id="37"/>
      </w:r>
      <w:r w:rsidRPr="00DF23EB">
        <w:rPr>
          <w:rFonts w:ascii="Open Sans" w:eastAsia="Times New Roman" w:hAnsi="Open Sans" w:cs="Open Sans"/>
          <w:color w:val="000000"/>
          <w:sz w:val="24"/>
          <w:szCs w:val="24"/>
        </w:rPr>
        <w:t xml:space="preserve">  This particular study revealed that in 2021, 77% of teens who </w:t>
      </w:r>
    </w:p>
    <w:p w14:paraId="42EC9845"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099A7114"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acknowledged using tobacco products indicated or otherwise admitted that their </w:t>
      </w:r>
    </w:p>
    <w:p w14:paraId="04F0AFDC"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2097491D"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initial tobacco-related experience was an e-cigarette.  Within the study, referring to </w:t>
      </w:r>
    </w:p>
    <w:p w14:paraId="66DCAE3B"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3B14FF53"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the 2014 data, only 27% of the teens made the same admission. </w:t>
      </w:r>
      <w:r w:rsidRPr="00DF23EB">
        <w:rPr>
          <w:rFonts w:ascii="Open Sans" w:eastAsia="Times New Roman" w:hAnsi="Open Sans" w:cs="Open Sans"/>
          <w:color w:val="000000"/>
          <w:sz w:val="24"/>
          <w:szCs w:val="24"/>
          <w:vertAlign w:val="superscript"/>
        </w:rPr>
        <w:footnoteReference w:id="38"/>
      </w:r>
      <w:r w:rsidRPr="00DF23EB">
        <w:rPr>
          <w:rFonts w:ascii="Open Sans" w:eastAsia="Times New Roman" w:hAnsi="Open Sans" w:cs="Open Sans"/>
          <w:color w:val="000000"/>
          <w:sz w:val="24"/>
          <w:szCs w:val="24"/>
        </w:rPr>
        <w:t xml:space="preserve"> The importance </w:t>
      </w:r>
    </w:p>
    <w:p w14:paraId="2F93F097"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598197BD"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of the imposition of an e-cigarette tax combined with the examples of small rural </w:t>
      </w:r>
    </w:p>
    <w:p w14:paraId="5BA7010E"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30E0564C"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states like West Virginia is further exemplified by the fact that there has been a </w:t>
      </w:r>
    </w:p>
    <w:p w14:paraId="295B5DC7"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31296FAA"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900% increase in e-cigarette used by high school students from 2011 to 2015.</w:t>
      </w:r>
      <w:r w:rsidRPr="00DF23EB">
        <w:rPr>
          <w:rFonts w:ascii="Open Sans" w:eastAsia="Times New Roman" w:hAnsi="Open Sans" w:cs="Open Sans"/>
          <w:color w:val="000000"/>
          <w:sz w:val="24"/>
          <w:szCs w:val="24"/>
          <w:vertAlign w:val="superscript"/>
        </w:rPr>
        <w:footnoteReference w:id="39"/>
      </w:r>
    </w:p>
    <w:p w14:paraId="1DAD9477"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27256C8D" w14:textId="77777777" w:rsidR="00DF23EB" w:rsidRPr="00DF23EB" w:rsidRDefault="00DF23EB" w:rsidP="00DF23EB">
      <w:pPr>
        <w:spacing w:after="0" w:line="240" w:lineRule="auto"/>
        <w:jc w:val="both"/>
        <w:rPr>
          <w:rFonts w:ascii="Open Sans" w:eastAsia="Times New Roman" w:hAnsi="Open Sans" w:cs="Open Sans"/>
          <w:b/>
          <w:bCs/>
          <w:color w:val="000000"/>
          <w:sz w:val="24"/>
          <w:szCs w:val="24"/>
        </w:rPr>
      </w:pPr>
      <w:r w:rsidRPr="00DF23EB">
        <w:rPr>
          <w:rFonts w:ascii="Open Sans" w:eastAsia="Times New Roman" w:hAnsi="Open Sans" w:cs="Open Sans"/>
          <w:color w:val="000000"/>
          <w:sz w:val="24"/>
          <w:szCs w:val="24"/>
        </w:rPr>
        <w:t xml:space="preserve">                                                  </w:t>
      </w:r>
      <w:r w:rsidRPr="00DF23EB">
        <w:rPr>
          <w:rFonts w:ascii="Open Sans" w:eastAsia="Times New Roman" w:hAnsi="Open Sans" w:cs="Open Sans"/>
          <w:b/>
          <w:bCs/>
          <w:color w:val="000000"/>
          <w:sz w:val="24"/>
          <w:szCs w:val="24"/>
        </w:rPr>
        <w:t>CONCLUSION</w:t>
      </w:r>
    </w:p>
    <w:p w14:paraId="61C23676" w14:textId="77777777" w:rsidR="00DF23EB" w:rsidRPr="00DF23EB" w:rsidRDefault="00DF23EB" w:rsidP="00DF23EB">
      <w:pPr>
        <w:spacing w:after="0" w:line="240" w:lineRule="auto"/>
        <w:ind w:left="360"/>
        <w:jc w:val="both"/>
        <w:rPr>
          <w:rFonts w:ascii="Open Sans" w:eastAsia="Times New Roman" w:hAnsi="Open Sans" w:cs="Open Sans"/>
          <w:b/>
          <w:bCs/>
          <w:color w:val="000000"/>
          <w:sz w:val="28"/>
          <w:szCs w:val="28"/>
        </w:rPr>
      </w:pPr>
    </w:p>
    <w:p w14:paraId="72B03384"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b/>
          <w:bCs/>
          <w:color w:val="000000"/>
          <w:sz w:val="28"/>
          <w:szCs w:val="28"/>
        </w:rPr>
        <w:t xml:space="preserve"> </w:t>
      </w:r>
      <w:r w:rsidRPr="00DF23EB">
        <w:rPr>
          <w:rFonts w:ascii="Open Sans" w:eastAsia="Times New Roman" w:hAnsi="Open Sans" w:cs="Open Sans"/>
          <w:b/>
          <w:bCs/>
          <w:color w:val="000000"/>
          <w:sz w:val="28"/>
          <w:szCs w:val="28"/>
        </w:rPr>
        <w:tab/>
      </w:r>
      <w:r w:rsidRPr="00DF23EB">
        <w:rPr>
          <w:rFonts w:ascii="Open Sans" w:eastAsia="Times New Roman" w:hAnsi="Open Sans" w:cs="Open Sans"/>
          <w:color w:val="000000"/>
          <w:sz w:val="24"/>
          <w:szCs w:val="24"/>
        </w:rPr>
        <w:t xml:space="preserve">The vast majority of smokers begin smoking as teenagers.  One of the </w:t>
      </w:r>
    </w:p>
    <w:p w14:paraId="6CB5494F"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01CA4D5F"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primary or critical provisions of the Act is to reduce youth tobacco use by closing </w:t>
      </w:r>
    </w:p>
    <w:p w14:paraId="4906D7C1"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268FE155"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loopholes in the existing tax code by imposing a tax on vaping products.  Further, </w:t>
      </w:r>
    </w:p>
    <w:p w14:paraId="78C438AA"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1ABEDA34"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significantly increasing the federal excise tax of tobacco products in general has </w:t>
      </w:r>
    </w:p>
    <w:p w14:paraId="26C5CDE4"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0D7864DF"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long been recognized as the single most effective way to reduce tobacco use, </w:t>
      </w:r>
    </w:p>
    <w:p w14:paraId="5EC26599"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62C08D53"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especially among adolescents.  The policy changes set forth within the Act would </w:t>
      </w:r>
    </w:p>
    <w:p w14:paraId="0FFA94D4"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1B2C3D2B"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have the overall beneficial effect of reducing health care spending and </w:t>
      </w:r>
    </w:p>
    <w:p w14:paraId="0B335E49"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4CB4CAD2"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 xml:space="preserve">safeguarding millions of Americans, especially youth, from tobacco addiction, </w:t>
      </w:r>
    </w:p>
    <w:p w14:paraId="4ED5ABE3"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p>
    <w:p w14:paraId="762FF5E2" w14:textId="77777777" w:rsidR="00DF23EB" w:rsidRPr="00DF23EB" w:rsidRDefault="00DF23EB" w:rsidP="00DF23EB">
      <w:pPr>
        <w:spacing w:after="0" w:line="240" w:lineRule="auto"/>
        <w:jc w:val="both"/>
        <w:rPr>
          <w:rFonts w:ascii="Open Sans" w:eastAsia="Times New Roman" w:hAnsi="Open Sans" w:cs="Open Sans"/>
          <w:color w:val="000000"/>
          <w:sz w:val="24"/>
          <w:szCs w:val="24"/>
        </w:rPr>
      </w:pPr>
      <w:r w:rsidRPr="00DF23EB">
        <w:rPr>
          <w:rFonts w:ascii="Open Sans" w:eastAsia="Times New Roman" w:hAnsi="Open Sans" w:cs="Open Sans"/>
          <w:color w:val="000000"/>
          <w:sz w:val="24"/>
          <w:szCs w:val="24"/>
        </w:rPr>
        <w:t>illness, and death.</w:t>
      </w:r>
    </w:p>
    <w:p w14:paraId="28F8D7D0" w14:textId="77777777" w:rsidR="00DF23EB" w:rsidRPr="00DF23EB" w:rsidRDefault="00DF23EB" w:rsidP="00DF23EB">
      <w:pPr>
        <w:spacing w:after="0" w:line="240" w:lineRule="auto"/>
        <w:jc w:val="both"/>
        <w:rPr>
          <w:rFonts w:ascii="Open Sans" w:eastAsia="Times New Roman" w:hAnsi="Open Sans" w:cs="Open Sans"/>
          <w:color w:val="000000"/>
          <w:sz w:val="28"/>
          <w:szCs w:val="28"/>
        </w:rPr>
      </w:pPr>
    </w:p>
    <w:p w14:paraId="6D7C1203" w14:textId="77777777" w:rsidR="00DF23EB" w:rsidRPr="00DF23EB" w:rsidRDefault="00DF23EB" w:rsidP="00DF23EB">
      <w:pPr>
        <w:spacing w:after="0" w:line="240" w:lineRule="auto"/>
        <w:ind w:firstLine="720"/>
        <w:jc w:val="both"/>
        <w:rPr>
          <w:rFonts w:ascii="Open Sans" w:eastAsia="Times New Roman" w:hAnsi="Open Sans" w:cs="Open Sans"/>
          <w:b/>
          <w:bCs/>
          <w:color w:val="000000"/>
          <w:sz w:val="28"/>
          <w:szCs w:val="28"/>
        </w:rPr>
      </w:pPr>
    </w:p>
    <w:p w14:paraId="4BCBF9EC" w14:textId="77777777" w:rsidR="00DF23EB" w:rsidRPr="00DF23EB" w:rsidRDefault="00DF23EB" w:rsidP="00DF23EB">
      <w:pPr>
        <w:spacing w:after="0" w:line="240" w:lineRule="auto"/>
        <w:ind w:firstLine="720"/>
        <w:jc w:val="both"/>
        <w:rPr>
          <w:rFonts w:ascii="Open Sans" w:eastAsia="Times New Roman" w:hAnsi="Open Sans" w:cs="Open Sans"/>
          <w:color w:val="000000"/>
          <w:sz w:val="28"/>
          <w:szCs w:val="28"/>
        </w:rPr>
      </w:pPr>
    </w:p>
    <w:p w14:paraId="6B3F9DE3" w14:textId="77777777" w:rsidR="00DF23EB" w:rsidRPr="00DF23EB" w:rsidRDefault="00DF23EB" w:rsidP="00DF23EB">
      <w:pPr>
        <w:spacing w:after="0" w:line="240" w:lineRule="auto"/>
        <w:ind w:firstLine="720"/>
        <w:jc w:val="both"/>
        <w:rPr>
          <w:rFonts w:ascii="Open Sans" w:eastAsia="Times New Roman" w:hAnsi="Open Sans" w:cs="Open Sans"/>
          <w:color w:val="000000"/>
          <w:sz w:val="28"/>
          <w:szCs w:val="28"/>
        </w:rPr>
      </w:pPr>
    </w:p>
    <w:p w14:paraId="0298EE6D" w14:textId="77777777" w:rsidR="00DF23EB" w:rsidRPr="00DF23EB" w:rsidRDefault="00DF23EB" w:rsidP="00DF23EB">
      <w:pPr>
        <w:spacing w:after="0" w:line="240" w:lineRule="auto"/>
        <w:ind w:firstLine="720"/>
        <w:jc w:val="both"/>
        <w:rPr>
          <w:rFonts w:ascii="Open Sans" w:eastAsia="Times New Roman" w:hAnsi="Open Sans" w:cs="Open Sans"/>
          <w:color w:val="000000"/>
          <w:sz w:val="28"/>
          <w:szCs w:val="28"/>
        </w:rPr>
      </w:pPr>
    </w:p>
    <w:p w14:paraId="3FFF80DF" w14:textId="77777777" w:rsidR="00DF23EB" w:rsidRPr="00DF23EB" w:rsidRDefault="00DF23EB" w:rsidP="00DF23EB">
      <w:pPr>
        <w:spacing w:after="0" w:line="240" w:lineRule="auto"/>
        <w:jc w:val="both"/>
        <w:rPr>
          <w:rFonts w:ascii="Open Sans" w:eastAsia="Times New Roman" w:hAnsi="Open Sans" w:cs="Open Sans"/>
          <w:color w:val="000000"/>
          <w:sz w:val="28"/>
          <w:szCs w:val="28"/>
        </w:rPr>
      </w:pPr>
    </w:p>
    <w:p w14:paraId="33715188" w14:textId="19077950" w:rsidR="001F6B83" w:rsidRPr="00573554" w:rsidRDefault="00A0403B" w:rsidP="00545C77">
      <w:pPr>
        <w:spacing w:after="0" w:line="240" w:lineRule="auto"/>
        <w:rPr>
          <w:rFonts w:ascii="Times New Roman" w:eastAsia="Calibri" w:hAnsi="Times New Roman" w:cs="Times New Roman"/>
          <w:sz w:val="24"/>
          <w:szCs w:val="24"/>
        </w:rPr>
      </w:pPr>
      <w:r w:rsidRPr="00573554">
        <w:rPr>
          <w:rFonts w:ascii="Times New Roman" w:eastAsia="Calibri" w:hAnsi="Times New Roman" w:cs="Times New Roman"/>
          <w:b/>
          <w:bCs/>
          <w:color w:val="EE0000"/>
          <w:sz w:val="24"/>
          <w:szCs w:val="24"/>
        </w:rPr>
        <w:lastRenderedPageBreak/>
        <w:t>Dinner 5:</w:t>
      </w:r>
      <w:r w:rsidR="001D28CF" w:rsidRPr="00573554">
        <w:rPr>
          <w:rFonts w:ascii="Times New Roman" w:eastAsia="Calibri" w:hAnsi="Times New Roman" w:cs="Times New Roman"/>
          <w:b/>
          <w:bCs/>
          <w:color w:val="EE0000"/>
          <w:sz w:val="24"/>
          <w:szCs w:val="24"/>
        </w:rPr>
        <w:t>45</w:t>
      </w:r>
      <w:r w:rsidRPr="00573554">
        <w:rPr>
          <w:rFonts w:ascii="Times New Roman" w:eastAsia="Calibri" w:hAnsi="Times New Roman" w:cs="Times New Roman"/>
          <w:color w:val="EE0000"/>
          <w:sz w:val="24"/>
          <w:szCs w:val="24"/>
        </w:rPr>
        <w:t xml:space="preserve"> </w:t>
      </w:r>
      <w:r w:rsidR="004C7F9D" w:rsidRPr="00573554">
        <w:rPr>
          <w:rFonts w:ascii="Times New Roman" w:eastAsia="Calibri" w:hAnsi="Times New Roman" w:cs="Times New Roman"/>
          <w:sz w:val="24"/>
          <w:szCs w:val="24"/>
        </w:rPr>
        <w:t xml:space="preserve">Angie’s Italian Restaurant </w:t>
      </w:r>
      <w:r w:rsidR="00C4220E" w:rsidRPr="00573554">
        <w:rPr>
          <w:rFonts w:ascii="Times New Roman" w:eastAsia="Calibri" w:hAnsi="Times New Roman" w:cs="Times New Roman"/>
          <w:sz w:val="24"/>
          <w:szCs w:val="24"/>
        </w:rPr>
        <w:t>(dinner on your own but we will meet as a group)</w:t>
      </w:r>
      <w:r w:rsidR="002F6749" w:rsidRPr="00573554">
        <w:rPr>
          <w:rFonts w:ascii="Times New Roman" w:eastAsia="Calibri" w:hAnsi="Times New Roman" w:cs="Times New Roman"/>
          <w:sz w:val="24"/>
          <w:szCs w:val="24"/>
        </w:rPr>
        <w:t xml:space="preserve">, </w:t>
      </w:r>
      <w:r w:rsidR="004C7F9D" w:rsidRPr="00573554">
        <w:rPr>
          <w:rFonts w:ascii="Times New Roman" w:hAnsi="Times New Roman" w:cs="Times New Roman"/>
          <w:color w:val="1F1F1F"/>
          <w:sz w:val="24"/>
          <w:szCs w:val="24"/>
          <w:shd w:val="clear" w:color="auto" w:fill="FFFFFF"/>
        </w:rPr>
        <w:t xml:space="preserve">343 4th St NW, Barberton, OH </w:t>
      </w:r>
      <w:bookmarkEnd w:id="0"/>
      <w:r w:rsidR="004C7F9D" w:rsidRPr="00573554">
        <w:rPr>
          <w:rFonts w:ascii="Times New Roman" w:hAnsi="Times New Roman" w:cs="Times New Roman"/>
          <w:color w:val="1F1F1F"/>
          <w:sz w:val="24"/>
          <w:szCs w:val="24"/>
          <w:shd w:val="clear" w:color="auto" w:fill="FFFFFF"/>
        </w:rPr>
        <w:t>44203 (John and Jill’s pick)</w:t>
      </w:r>
    </w:p>
    <w:p w14:paraId="10D47B2C" w14:textId="753CC3F5" w:rsidR="004810E1" w:rsidRPr="00573554" w:rsidRDefault="004810E1" w:rsidP="00545C77">
      <w:pPr>
        <w:spacing w:after="0" w:line="240" w:lineRule="auto"/>
        <w:rPr>
          <w:rFonts w:ascii="Times New Roman" w:hAnsi="Times New Roman" w:cs="Times New Roman"/>
          <w:b/>
          <w:bCs/>
          <w:color w:val="FF0000"/>
          <w:sz w:val="24"/>
          <w:szCs w:val="24"/>
        </w:rPr>
      </w:pPr>
      <w:r w:rsidRPr="00573554">
        <w:rPr>
          <w:rFonts w:ascii="Times New Roman" w:hAnsi="Times New Roman" w:cs="Times New Roman"/>
          <w:b/>
          <w:bCs/>
          <w:color w:val="FF0000"/>
          <w:sz w:val="24"/>
          <w:szCs w:val="24"/>
        </w:rPr>
        <w:t>https://www.angiesbarberton.com/</w:t>
      </w:r>
    </w:p>
    <w:sectPr w:rsidR="004810E1" w:rsidRPr="005735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DBF57" w14:textId="77777777" w:rsidR="00515AC2" w:rsidRDefault="00515AC2" w:rsidP="007367B0">
      <w:pPr>
        <w:spacing w:after="0" w:line="240" w:lineRule="auto"/>
      </w:pPr>
      <w:r>
        <w:separator/>
      </w:r>
    </w:p>
  </w:endnote>
  <w:endnote w:type="continuationSeparator" w:id="0">
    <w:p w14:paraId="2D8FB674" w14:textId="77777777" w:rsidR="00515AC2" w:rsidRDefault="00515AC2" w:rsidP="0073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ource Sans Pro">
    <w:altName w:val="Cambria Math"/>
    <w:panose1 w:val="020B0503030403020204"/>
    <w:charset w:val="00"/>
    <w:family w:val="swiss"/>
    <w:pitch w:val="variable"/>
    <w:sig w:usb0="600002F7" w:usb1="02000001" w:usb2="00000000" w:usb3="00000000" w:csb0="0000019F" w:csb1="00000000"/>
  </w:font>
  <w:font w:name="Open Sans">
    <w:altName w:val="Arial"/>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8F8A8" w14:textId="77777777" w:rsidR="00515AC2" w:rsidRDefault="00515AC2" w:rsidP="007367B0">
      <w:pPr>
        <w:spacing w:after="0" w:line="240" w:lineRule="auto"/>
      </w:pPr>
      <w:r>
        <w:separator/>
      </w:r>
    </w:p>
  </w:footnote>
  <w:footnote w:type="continuationSeparator" w:id="0">
    <w:p w14:paraId="30A31637" w14:textId="77777777" w:rsidR="00515AC2" w:rsidRDefault="00515AC2" w:rsidP="007367B0">
      <w:pPr>
        <w:spacing w:after="0" w:line="240" w:lineRule="auto"/>
      </w:pPr>
      <w:r>
        <w:continuationSeparator/>
      </w:r>
    </w:p>
  </w:footnote>
  <w:footnote w:id="1">
    <w:p w14:paraId="4AEBBDDD" w14:textId="77777777" w:rsidR="007367B0" w:rsidRDefault="007367B0" w:rsidP="007367B0">
      <w:pPr>
        <w:pStyle w:val="FootnoteText"/>
      </w:pPr>
      <w:r>
        <w:rPr>
          <w:rStyle w:val="FootnoteReference"/>
        </w:rPr>
        <w:footnoteRef/>
      </w:r>
      <w:r>
        <w:t xml:space="preserve"> Key Elements of the U.S. Tax System, Tax Policy Center, May, 2020.</w:t>
      </w:r>
    </w:p>
  </w:footnote>
  <w:footnote w:id="2">
    <w:p w14:paraId="50DF9728" w14:textId="77777777" w:rsidR="007367B0" w:rsidRDefault="007367B0" w:rsidP="007367B0">
      <w:pPr>
        <w:pStyle w:val="FootnoteText"/>
      </w:pPr>
      <w:r>
        <w:rPr>
          <w:rStyle w:val="FootnoteReference"/>
        </w:rPr>
        <w:footnoteRef/>
      </w:r>
      <w:r>
        <w:t xml:space="preserve"> Letter to Chairman Kevin Brady and Richard Neal from the Joint Committee of Taxation, August 31, 2016. </w:t>
      </w:r>
    </w:p>
  </w:footnote>
  <w:footnote w:id="3">
    <w:p w14:paraId="2CB6CB80" w14:textId="77777777" w:rsidR="007367B0" w:rsidRDefault="007367B0" w:rsidP="007367B0">
      <w:pPr>
        <w:pStyle w:val="FootnoteText"/>
      </w:pPr>
      <w:r>
        <w:rPr>
          <w:rStyle w:val="FootnoteReference"/>
        </w:rPr>
        <w:footnoteRef/>
      </w:r>
      <w:r>
        <w:t xml:space="preserve"> Pub. L. 115-97, 131 Stat. 2054</w:t>
      </w:r>
    </w:p>
  </w:footnote>
  <w:footnote w:id="4">
    <w:p w14:paraId="7BA9AB8A" w14:textId="77777777" w:rsidR="007367B0" w:rsidRDefault="007367B0" w:rsidP="007367B0">
      <w:pPr>
        <w:pStyle w:val="FootnoteText"/>
      </w:pPr>
      <w:r>
        <w:rPr>
          <w:rStyle w:val="FootnoteReference"/>
        </w:rPr>
        <w:footnoteRef/>
      </w:r>
      <w:r>
        <w:t xml:space="preserve"> 26 U.S. Code Section 957</w:t>
      </w:r>
    </w:p>
  </w:footnote>
  <w:footnote w:id="5">
    <w:p w14:paraId="3726B642" w14:textId="77777777" w:rsidR="007367B0" w:rsidRDefault="007367B0" w:rsidP="007367B0">
      <w:pPr>
        <w:pStyle w:val="FootnoteText"/>
      </w:pPr>
      <w:r>
        <w:rPr>
          <w:rStyle w:val="FootnoteReference"/>
        </w:rPr>
        <w:footnoteRef/>
      </w:r>
      <w:r>
        <w:t xml:space="preserve"> See Dave Fischbein Mfg. Co. v. Comm’r of Internal Revenue, 59 T.C. 338, 353-54 (1972).</w:t>
      </w:r>
    </w:p>
  </w:footnote>
  <w:footnote w:id="6">
    <w:p w14:paraId="632AD5D2" w14:textId="77777777" w:rsidR="007367B0" w:rsidRDefault="007367B0" w:rsidP="007367B0">
      <w:pPr>
        <w:pStyle w:val="FootnoteText"/>
      </w:pPr>
      <w:r>
        <w:rPr>
          <w:rStyle w:val="FootnoteReference"/>
        </w:rPr>
        <w:footnoteRef/>
      </w:r>
      <w:r>
        <w:t xml:space="preserve"> TCJA Sections 14101-14223.</w:t>
      </w:r>
    </w:p>
  </w:footnote>
  <w:footnote w:id="7">
    <w:p w14:paraId="7D59BCF1" w14:textId="77777777" w:rsidR="007367B0" w:rsidRDefault="007367B0" w:rsidP="007367B0">
      <w:pPr>
        <w:pStyle w:val="FootnoteText"/>
      </w:pPr>
      <w:r>
        <w:rPr>
          <w:rStyle w:val="FootnoteReference"/>
        </w:rPr>
        <w:footnoteRef/>
      </w:r>
      <w:r>
        <w:t xml:space="preserve"> Henry Ordower, Abandoning Realization and the Transition Tax:  Toward A Comprehensive Tax Base, 67 BUFF. L. REV. 1371, 1373 (2019.</w:t>
      </w:r>
    </w:p>
  </w:footnote>
  <w:footnote w:id="8">
    <w:p w14:paraId="76B259B7" w14:textId="77777777" w:rsidR="007367B0" w:rsidRDefault="007367B0" w:rsidP="007367B0">
      <w:pPr>
        <w:pStyle w:val="FootnoteText"/>
      </w:pPr>
      <w:r>
        <w:rPr>
          <w:rStyle w:val="FootnoteReference"/>
        </w:rPr>
        <w:footnoteRef/>
      </w:r>
      <w:r>
        <w:t xml:space="preserve"> Ordower, supra at 1377.</w:t>
      </w:r>
    </w:p>
  </w:footnote>
  <w:footnote w:id="9">
    <w:p w14:paraId="3328BE89" w14:textId="77777777" w:rsidR="007367B0" w:rsidRDefault="007367B0" w:rsidP="007367B0">
      <w:pPr>
        <w:pStyle w:val="FootnoteText"/>
      </w:pPr>
      <w:r>
        <w:rPr>
          <w:rStyle w:val="FootnoteReference"/>
        </w:rPr>
        <w:footnoteRef/>
      </w:r>
      <w:r>
        <w:t xml:space="preserve"> 26 U.S.C. Section 965</w:t>
      </w:r>
    </w:p>
  </w:footnote>
  <w:footnote w:id="10">
    <w:p w14:paraId="3D226DC1" w14:textId="77777777" w:rsidR="007367B0" w:rsidRDefault="007367B0" w:rsidP="007367B0">
      <w:pPr>
        <w:pStyle w:val="FootnoteText"/>
      </w:pPr>
      <w:r>
        <w:rPr>
          <w:rStyle w:val="FootnoteReference"/>
        </w:rPr>
        <w:footnoteRef/>
      </w:r>
      <w:r>
        <w:t xml:space="preserve"> 26 U.S. Code Section 965 (h)</w:t>
      </w:r>
    </w:p>
  </w:footnote>
  <w:footnote w:id="11">
    <w:p w14:paraId="6CD952BD" w14:textId="77777777" w:rsidR="007367B0" w:rsidRDefault="007367B0" w:rsidP="007367B0">
      <w:pPr>
        <w:pStyle w:val="FootnoteText"/>
      </w:pPr>
      <w:r>
        <w:rPr>
          <w:rStyle w:val="FootnoteReference"/>
        </w:rPr>
        <w:footnoteRef/>
      </w:r>
      <w:r>
        <w:t xml:space="preserve"> Joint Committee on Taxation, “Estimated Budget Effects of the Conference Agreement for H.R. 1, ‘Tax Cuts and Job Acts Fiscal Years 2018-2027,” JCX-67-17 (Dec.18, 2017).</w:t>
      </w:r>
    </w:p>
  </w:footnote>
  <w:footnote w:id="12">
    <w:p w14:paraId="6847FD64" w14:textId="77777777" w:rsidR="007367B0" w:rsidRDefault="007367B0" w:rsidP="007367B0">
      <w:pPr>
        <w:pStyle w:val="FootnoteText"/>
      </w:pPr>
      <w:r>
        <w:rPr>
          <w:rStyle w:val="FootnoteReference"/>
        </w:rPr>
        <w:footnoteRef/>
      </w:r>
      <w:r>
        <w:t xml:space="preserve"> 252 U.S. 189 (1920).</w:t>
      </w:r>
    </w:p>
  </w:footnote>
  <w:footnote w:id="13">
    <w:p w14:paraId="2CD0D25A" w14:textId="77777777" w:rsidR="007367B0" w:rsidRDefault="007367B0" w:rsidP="007367B0">
      <w:pPr>
        <w:pStyle w:val="FootnoteText"/>
      </w:pPr>
      <w:r>
        <w:rPr>
          <w:rStyle w:val="FootnoteReference"/>
        </w:rPr>
        <w:footnoteRef/>
      </w:r>
      <w:r>
        <w:t xml:space="preserve"> 36 F. 4</w:t>
      </w:r>
      <w:r w:rsidRPr="00E32485">
        <w:rPr>
          <w:vertAlign w:val="superscript"/>
        </w:rPr>
        <w:t>th</w:t>
      </w:r>
      <w:r>
        <w:t xml:space="preserve"> at 936, 937 (quoting Helvering v. Horst, 311 U.S. 112, 116 ).</w:t>
      </w:r>
    </w:p>
  </w:footnote>
  <w:footnote w:id="14">
    <w:p w14:paraId="6222852F" w14:textId="77777777" w:rsidR="007367B0" w:rsidRDefault="007367B0" w:rsidP="007367B0">
      <w:pPr>
        <w:pStyle w:val="FootnoteText"/>
      </w:pPr>
      <w:r>
        <w:rPr>
          <w:rStyle w:val="FootnoteReference"/>
        </w:rPr>
        <w:footnoteRef/>
      </w:r>
      <w:r>
        <w:t xml:space="preserve"> Id. At 936.</w:t>
      </w:r>
    </w:p>
  </w:footnote>
  <w:footnote w:id="15">
    <w:p w14:paraId="615C48A5" w14:textId="77777777" w:rsidR="007367B0" w:rsidRDefault="007367B0" w:rsidP="007367B0">
      <w:pPr>
        <w:pStyle w:val="FootnoteText"/>
      </w:pPr>
      <w:r>
        <w:rPr>
          <w:rStyle w:val="FootnoteReference"/>
        </w:rPr>
        <w:footnoteRef/>
      </w:r>
      <w:r>
        <w:t xml:space="preserve"> Id.</w:t>
      </w:r>
    </w:p>
  </w:footnote>
  <w:footnote w:id="16">
    <w:p w14:paraId="2C5BC35A" w14:textId="77777777" w:rsidR="007367B0" w:rsidRDefault="007367B0" w:rsidP="007367B0">
      <w:pPr>
        <w:pStyle w:val="FootnoteText"/>
      </w:pPr>
      <w:r>
        <w:rPr>
          <w:rStyle w:val="FootnoteReference"/>
        </w:rPr>
        <w:footnoteRef/>
      </w:r>
      <w:r>
        <w:t xml:space="preserve"> Id. At 936.</w:t>
      </w:r>
    </w:p>
  </w:footnote>
  <w:footnote w:id="17">
    <w:p w14:paraId="009B23A3" w14:textId="77777777" w:rsidR="00DF23EB" w:rsidRDefault="00DF23EB" w:rsidP="00DF23EB">
      <w:pPr>
        <w:pStyle w:val="FootnoteText"/>
      </w:pPr>
      <w:r>
        <w:rPr>
          <w:rStyle w:val="FootnoteReference"/>
        </w:rPr>
        <w:footnoteRef/>
      </w:r>
      <w:r>
        <w:t xml:space="preserve"> Public Health Service, Smoking and Health: Report of the Advisory Committee to the Surgeon General of the Public Health Service (1964), p.33.</w:t>
      </w:r>
    </w:p>
  </w:footnote>
  <w:footnote w:id="18">
    <w:p w14:paraId="5AB2C841" w14:textId="77777777" w:rsidR="00DF23EB" w:rsidRDefault="00DF23EB" w:rsidP="00DF23EB">
      <w:pPr>
        <w:pStyle w:val="FootnoteText"/>
      </w:pPr>
      <w:r>
        <w:t>2  U.S Department of Health and Human Services.  The Health Consequences of Smoking – 50 years of Progress: A Report of the Surgeon General. Atlanta: US Department of Health and Human Services, Centers for Disease Control and Prevention, National Center For Chronic Disease Prevention and Health Promotion, Office on Smoking and Health, 2014 [accessed 2017 April 20].</w:t>
      </w:r>
    </w:p>
  </w:footnote>
  <w:footnote w:id="19">
    <w:p w14:paraId="17B94D9E" w14:textId="77777777" w:rsidR="00DF23EB" w:rsidRDefault="00DF23EB" w:rsidP="00DF23EB">
      <w:pPr>
        <w:pStyle w:val="FootnoteText"/>
      </w:pPr>
      <w:r>
        <w:rPr>
          <w:rStyle w:val="FootnoteReference"/>
        </w:rPr>
        <w:footnoteRef/>
      </w:r>
      <w:r>
        <w:t xml:space="preserve"> Centers for Disease Control and Prevention, Fast Facts and Fact Sheets.</w:t>
      </w:r>
    </w:p>
  </w:footnote>
  <w:footnote w:id="20">
    <w:p w14:paraId="3AE369D6" w14:textId="77777777" w:rsidR="00DF23EB" w:rsidRDefault="00DF23EB" w:rsidP="00DF23EB">
      <w:pPr>
        <w:pStyle w:val="FootnoteText"/>
      </w:pPr>
      <w:r>
        <w:rPr>
          <w:rStyle w:val="FootnoteReference"/>
        </w:rPr>
        <w:footnoteRef/>
      </w:r>
      <w:r>
        <w:t xml:space="preserve"> Centers for Disease Control and Prevention, Smoking &amp; Tobacco Use, Costs and Expenditures, July 2022;</w:t>
      </w:r>
    </w:p>
  </w:footnote>
  <w:footnote w:id="21">
    <w:p w14:paraId="415FFC80" w14:textId="77777777" w:rsidR="00DF23EB" w:rsidRDefault="00DF23EB" w:rsidP="00DF23EB">
      <w:pPr>
        <w:pStyle w:val="FootnoteText"/>
      </w:pPr>
      <w:r>
        <w:rPr>
          <w:rStyle w:val="FootnoteReference"/>
        </w:rPr>
        <w:footnoteRef/>
      </w:r>
      <w:r>
        <w:t xml:space="preserve">  U. S. Tobacco Revenues and Forecast, 2000-2028; Statista Research Department, November 3, 2023;</w:t>
      </w:r>
    </w:p>
  </w:footnote>
  <w:footnote w:id="22">
    <w:p w14:paraId="1A669876" w14:textId="77777777" w:rsidR="00DF23EB" w:rsidRDefault="00DF23EB" w:rsidP="00DF23EB">
      <w:pPr>
        <w:pStyle w:val="FootnoteText"/>
      </w:pPr>
      <w:r>
        <w:rPr>
          <w:rStyle w:val="FootnoteReference"/>
        </w:rPr>
        <w:footnoteRef/>
      </w:r>
      <w:r>
        <w:t xml:space="preserve"> “Raising the Excise Tax on Cigarettes:  Effects on Cigarettes: Effects on Health and the Federal Budget”, Congressional Budget Office, June, 2012;</w:t>
      </w:r>
    </w:p>
  </w:footnote>
  <w:footnote w:id="23">
    <w:p w14:paraId="6CF3B829" w14:textId="77777777" w:rsidR="00DF23EB" w:rsidRDefault="00DF23EB" w:rsidP="00DF23EB">
      <w:pPr>
        <w:pStyle w:val="FootnoteText"/>
      </w:pPr>
      <w:r>
        <w:rPr>
          <w:rStyle w:val="FootnoteReference"/>
        </w:rPr>
        <w:footnoteRef/>
      </w:r>
      <w:r>
        <w:t xml:space="preserve">Tobacco &amp; Cigarette Tax by State 2023 – Comply IQ – Chris Roy; </w:t>
      </w:r>
      <w:r w:rsidRPr="00BC0272">
        <w:t>https://www.complyiq.io/</w:t>
      </w:r>
    </w:p>
    <w:p w14:paraId="5CED002B" w14:textId="77777777" w:rsidR="00DF23EB" w:rsidRDefault="00DF23EB" w:rsidP="00DF23EB">
      <w:pPr>
        <w:pStyle w:val="FootnoteText"/>
      </w:pPr>
      <w:r>
        <w:t xml:space="preserve">  </w:t>
      </w:r>
      <w:r w:rsidRPr="00BC0272">
        <w:t>cigarette-tax-state/</w:t>
      </w:r>
    </w:p>
  </w:footnote>
  <w:footnote w:id="24">
    <w:p w14:paraId="0B2C5474" w14:textId="77777777" w:rsidR="00DF23EB" w:rsidRPr="00A442E8" w:rsidRDefault="00DF23EB" w:rsidP="00DF23EB">
      <w:pPr>
        <w:pStyle w:val="FootnoteText"/>
        <w:rPr>
          <w:sz w:val="16"/>
          <w:szCs w:val="16"/>
        </w:rPr>
      </w:pPr>
      <w:r>
        <w:rPr>
          <w:rStyle w:val="FootnoteReference"/>
        </w:rPr>
        <w:footnoteRef/>
      </w:r>
      <w:r w:rsidRPr="00A442E8">
        <w:rPr>
          <w:sz w:val="16"/>
          <w:szCs w:val="16"/>
        </w:rPr>
        <w:t xml:space="preserve">Price, Income, and Affordability as the Determinants of Tobacco Consumption:  A Practitioner’s Guide to Tobacco Taxation </w:t>
      </w:r>
      <w:r w:rsidRPr="00A442E8">
        <w:rPr>
          <w:rFonts w:ascii="Source Sans Pro" w:hAnsi="Source Sans Pro"/>
          <w:i/>
          <w:iCs/>
          <w:color w:val="2A2A2A"/>
          <w:sz w:val="16"/>
          <w:szCs w:val="16"/>
          <w:bdr w:val="none" w:sz="0" w:space="0" w:color="auto" w:frame="1"/>
          <w:shd w:val="clear" w:color="auto" w:fill="FFFFFF"/>
        </w:rPr>
        <w:t>Nicotine &amp; Tobacco Research</w:t>
      </w:r>
      <w:r w:rsidRPr="00A442E8">
        <w:rPr>
          <w:rFonts w:ascii="Source Sans Pro" w:hAnsi="Source Sans Pro"/>
          <w:color w:val="2A2A2A"/>
          <w:sz w:val="16"/>
          <w:szCs w:val="16"/>
          <w:shd w:val="clear" w:color="auto" w:fill="FFFFFF"/>
        </w:rPr>
        <w:t>, Volume 23, Issu</w:t>
      </w:r>
      <w:r>
        <w:rPr>
          <w:rFonts w:ascii="Source Sans Pro" w:hAnsi="Source Sans Pro"/>
          <w:color w:val="2A2A2A"/>
          <w:sz w:val="16"/>
          <w:szCs w:val="16"/>
          <w:shd w:val="clear" w:color="auto" w:fill="FFFFFF"/>
        </w:rPr>
        <w:t>e 1, January 2021, Pages 40–47;</w:t>
      </w:r>
    </w:p>
  </w:footnote>
  <w:footnote w:id="25">
    <w:p w14:paraId="3EB0B005" w14:textId="77777777" w:rsidR="00DF23EB" w:rsidRDefault="00DF23EB" w:rsidP="00DF23EB">
      <w:pPr>
        <w:pStyle w:val="FootnoteText"/>
      </w:pPr>
      <w:r>
        <w:rPr>
          <w:rStyle w:val="FootnoteReference"/>
        </w:rPr>
        <w:footnoteRef/>
      </w:r>
      <w:r>
        <w:t xml:space="preserve"> “The Importance of Tobacco Taxes”, Truth Initiative, January 15, 2019;</w:t>
      </w:r>
    </w:p>
  </w:footnote>
  <w:footnote w:id="26">
    <w:p w14:paraId="1B5D8D68" w14:textId="77777777" w:rsidR="00DF23EB" w:rsidRDefault="00DF23EB" w:rsidP="00DF23EB">
      <w:pPr>
        <w:pStyle w:val="FootnoteText"/>
      </w:pPr>
      <w:r>
        <w:rPr>
          <w:rStyle w:val="FootnoteReference"/>
        </w:rPr>
        <w:footnoteRef/>
      </w:r>
      <w:r>
        <w:t xml:space="preserve"> S. 2929, Tobacco Tax Equity Act of 2023;</w:t>
      </w:r>
    </w:p>
  </w:footnote>
  <w:footnote w:id="27">
    <w:p w14:paraId="6F067D3C" w14:textId="77777777" w:rsidR="00DF23EB" w:rsidRDefault="00DF23EB" w:rsidP="00DF23EB">
      <w:pPr>
        <w:pStyle w:val="FootnoteText"/>
      </w:pPr>
      <w:r>
        <w:rPr>
          <w:rStyle w:val="FootnoteReference"/>
        </w:rPr>
        <w:footnoteRef/>
      </w:r>
      <w:r>
        <w:t xml:space="preserve"> Analysis of Federal Proposal to Increase Tobacco and Nicotine Products Taxes, Tax Foundation, Ulrick Boesen, August, 2021.</w:t>
      </w:r>
    </w:p>
  </w:footnote>
  <w:footnote w:id="28">
    <w:p w14:paraId="66FF5850" w14:textId="77777777" w:rsidR="00DF23EB" w:rsidRDefault="00DF23EB" w:rsidP="00DF23EB">
      <w:pPr>
        <w:pStyle w:val="FootnoteText"/>
      </w:pPr>
      <w:r>
        <w:rPr>
          <w:rStyle w:val="FootnoteReference"/>
        </w:rPr>
        <w:footnoteRef/>
      </w:r>
      <w:r>
        <w:t>Ibid.</w:t>
      </w:r>
    </w:p>
  </w:footnote>
  <w:footnote w:id="29">
    <w:p w14:paraId="6CEBD618" w14:textId="77777777" w:rsidR="00DF23EB" w:rsidRDefault="00DF23EB" w:rsidP="00DF23EB">
      <w:pPr>
        <w:pStyle w:val="FootnoteText"/>
      </w:pPr>
      <w:r>
        <w:rPr>
          <w:rStyle w:val="FootnoteReference"/>
        </w:rPr>
        <w:footnoteRef/>
      </w:r>
      <w:r>
        <w:t xml:space="preserve"> “Poor Smokers, Poor Quitters, and Cigarette Tax Regressivity”, Dahlia K. Remler, National Library of Medicine, February, 2004.</w:t>
      </w:r>
    </w:p>
  </w:footnote>
  <w:footnote w:id="30">
    <w:p w14:paraId="2E81392D" w14:textId="77777777" w:rsidR="00DF23EB" w:rsidRDefault="00DF23EB" w:rsidP="00DF23EB">
      <w:pPr>
        <w:pStyle w:val="FootnoteText"/>
      </w:pPr>
      <w:r>
        <w:rPr>
          <w:rStyle w:val="FootnoteReference"/>
        </w:rPr>
        <w:footnoteRef/>
      </w:r>
      <w:r>
        <w:t>“Americans Are Smoking Less, But The Poorest People Still Suffer From Addiction”, Andrew McMaster, Global Citizen, February 23, 2018.</w:t>
      </w:r>
    </w:p>
  </w:footnote>
  <w:footnote w:id="31">
    <w:p w14:paraId="2E7B40E6" w14:textId="77777777" w:rsidR="00DF23EB" w:rsidRDefault="00DF23EB" w:rsidP="00DF23EB">
      <w:pPr>
        <w:pStyle w:val="FootnoteText"/>
      </w:pPr>
      <w:r>
        <w:rPr>
          <w:rStyle w:val="FootnoteReference"/>
        </w:rPr>
        <w:footnoteRef/>
      </w:r>
      <w:r>
        <w:t xml:space="preserve"> Herdman, Roger, Maria, Hewitt, and Mary Laschober.  Office of Technology Assessment.  Smoking-Related Deaths and Financial Costs: Office of Technology Assessment Estimates for 1990.  Before the Senate  Special Committee on Aging. Preventive Health: An ounce of Prevention Saves a Pound of Cure.  May 6, 1993.</w:t>
      </w:r>
    </w:p>
  </w:footnote>
  <w:footnote w:id="32">
    <w:p w14:paraId="49759152" w14:textId="77777777" w:rsidR="00DF23EB" w:rsidRDefault="00DF23EB" w:rsidP="00DF23EB">
      <w:pPr>
        <w:pStyle w:val="FootnoteText"/>
      </w:pPr>
      <w:r>
        <w:rPr>
          <w:rStyle w:val="FootnoteReference"/>
        </w:rPr>
        <w:footnoteRef/>
      </w:r>
      <w:r>
        <w:t xml:space="preserve"> “Growing Up Tobacco Free: Preventing Nicotine Addiction in Children and Youths”  Ismael Zayas, The National Library of Medicine, December 29, (1994).</w:t>
      </w:r>
    </w:p>
  </w:footnote>
  <w:footnote w:id="33">
    <w:p w14:paraId="3E54C17E" w14:textId="77777777" w:rsidR="00DF23EB" w:rsidRDefault="00DF23EB" w:rsidP="00DF23EB">
      <w:pPr>
        <w:pStyle w:val="FootnoteText"/>
      </w:pPr>
      <w:r>
        <w:rPr>
          <w:rStyle w:val="FootnoteReference"/>
        </w:rPr>
        <w:footnoteRef/>
      </w:r>
      <w:r>
        <w:t xml:space="preserve"> “Data Released Today Shows West Virginia Has 6</w:t>
      </w:r>
      <w:r w:rsidRPr="00384703">
        <w:rPr>
          <w:vertAlign w:val="superscript"/>
        </w:rPr>
        <w:t>th</w:t>
      </w:r>
      <w:r>
        <w:t xml:space="preserve"> Highest Poverty Rate in the Country Even Before COVID Hardship, More Relief Needed” West Virginia Center on Budget &amp; Policy, September 17, 2020;</w:t>
      </w:r>
    </w:p>
  </w:footnote>
  <w:footnote w:id="34">
    <w:p w14:paraId="548FDC48" w14:textId="77777777" w:rsidR="00DF23EB" w:rsidRDefault="00DF23EB" w:rsidP="00DF23EB">
      <w:pPr>
        <w:pStyle w:val="FootnoteText"/>
      </w:pPr>
      <w:r>
        <w:rPr>
          <w:rStyle w:val="FootnoteReference"/>
        </w:rPr>
        <w:footnoteRef/>
      </w:r>
      <w:r>
        <w:t xml:space="preserve"> “Study: Vaping Statistics by State”, Kevin Lombardi, Drug Watch, September 5, 2023;</w:t>
      </w:r>
    </w:p>
  </w:footnote>
  <w:footnote w:id="35">
    <w:p w14:paraId="2E02AA5F" w14:textId="77777777" w:rsidR="00DF23EB" w:rsidRDefault="00DF23EB" w:rsidP="00DF23EB">
      <w:pPr>
        <w:pStyle w:val="FootnoteText"/>
      </w:pPr>
      <w:r>
        <w:rPr>
          <w:rStyle w:val="FootnoteReference"/>
        </w:rPr>
        <w:footnoteRef/>
      </w:r>
      <w:r>
        <w:t xml:space="preserve"> Ibid.</w:t>
      </w:r>
    </w:p>
  </w:footnote>
  <w:footnote w:id="36">
    <w:p w14:paraId="374ECDC9" w14:textId="77777777" w:rsidR="00DF23EB" w:rsidRDefault="00DF23EB" w:rsidP="00DF23EB">
      <w:pPr>
        <w:pStyle w:val="FootnoteText"/>
      </w:pPr>
      <w:r>
        <w:rPr>
          <w:rStyle w:val="FootnoteReference"/>
        </w:rPr>
        <w:footnoteRef/>
      </w:r>
      <w:r>
        <w:t xml:space="preserve"> Ibid.</w:t>
      </w:r>
    </w:p>
  </w:footnote>
  <w:footnote w:id="37">
    <w:p w14:paraId="6539789A" w14:textId="77777777" w:rsidR="00DF23EB" w:rsidRDefault="00DF23EB" w:rsidP="00DF23EB">
      <w:pPr>
        <w:pStyle w:val="FootnoteText"/>
      </w:pPr>
      <w:r>
        <w:rPr>
          <w:rStyle w:val="FootnoteReference"/>
        </w:rPr>
        <w:footnoteRef/>
      </w:r>
      <w:r>
        <w:t xml:space="preserve"> “National Addiction and Intensity of e-Cigarette Use by Adolescents in the US, 2014-2021”, Staton Glantz, Abra Jeffers, &amp; Jonathan Winickff, Jama Network Open;</w:t>
      </w:r>
    </w:p>
  </w:footnote>
  <w:footnote w:id="38">
    <w:p w14:paraId="68D48AF4" w14:textId="77777777" w:rsidR="00DF23EB" w:rsidRDefault="00DF23EB" w:rsidP="00DF23EB">
      <w:pPr>
        <w:pStyle w:val="FootnoteText"/>
      </w:pPr>
      <w:r>
        <w:rPr>
          <w:rStyle w:val="FootnoteReference"/>
        </w:rPr>
        <w:footnoteRef/>
      </w:r>
      <w:r>
        <w:t xml:space="preserve"> Ibid.</w:t>
      </w:r>
    </w:p>
  </w:footnote>
  <w:footnote w:id="39">
    <w:p w14:paraId="3CE398C5" w14:textId="77777777" w:rsidR="00DF23EB" w:rsidRDefault="00DF23EB" w:rsidP="00DF23EB">
      <w:pPr>
        <w:pStyle w:val="FootnoteText"/>
      </w:pPr>
      <w:r>
        <w:rPr>
          <w:rStyle w:val="FootnoteReference"/>
        </w:rPr>
        <w:footnoteRef/>
      </w:r>
      <w:r>
        <w:t xml:space="preserve"> “At what age do kids Start smoking cigarettes?”, Jacqueline Howard, CNN;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8B4"/>
    <w:multiLevelType w:val="hybridMultilevel"/>
    <w:tmpl w:val="9A80CBF6"/>
    <w:lvl w:ilvl="0" w:tplc="ED6871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057285"/>
    <w:multiLevelType w:val="hybridMultilevel"/>
    <w:tmpl w:val="AEBC17EE"/>
    <w:lvl w:ilvl="0" w:tplc="E604A69E">
      <w:start w:val="4"/>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451E1"/>
    <w:multiLevelType w:val="multilevel"/>
    <w:tmpl w:val="EF682FF6"/>
    <w:lvl w:ilvl="0">
      <w:start w:val="1"/>
      <w:numFmt w:val="bullet"/>
      <w:lvlText w:val=""/>
      <w:lvlJc w:val="left"/>
      <w:pPr>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3893190D"/>
    <w:multiLevelType w:val="multilevel"/>
    <w:tmpl w:val="84423A56"/>
    <w:lvl w:ilvl="0">
      <w:start w:val="1"/>
      <w:numFmt w:val="upperLetter"/>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923A5"/>
    <w:multiLevelType w:val="hybridMultilevel"/>
    <w:tmpl w:val="287A1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6349D1"/>
    <w:multiLevelType w:val="hybridMultilevel"/>
    <w:tmpl w:val="8CC29216"/>
    <w:lvl w:ilvl="0" w:tplc="22660D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D34388"/>
    <w:multiLevelType w:val="hybridMultilevel"/>
    <w:tmpl w:val="B2423C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535E2C"/>
    <w:multiLevelType w:val="hybridMultilevel"/>
    <w:tmpl w:val="B07AE5CC"/>
    <w:lvl w:ilvl="0" w:tplc="5CEC3C28">
      <w:start w:val="1"/>
      <w:numFmt w:val="decimal"/>
      <w:lvlText w:val="%1)"/>
      <w:lvlJc w:val="left"/>
      <w:pPr>
        <w:ind w:left="720" w:hanging="360"/>
      </w:pPr>
      <w:rPr>
        <w:rFonts w:ascii="Times New Roman" w:eastAsia="Times New Roman" w:hAnsi="Times New Roman" w:cs="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F967F65"/>
    <w:multiLevelType w:val="hybridMultilevel"/>
    <w:tmpl w:val="11B836CE"/>
    <w:lvl w:ilvl="0" w:tplc="79320E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74100014">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1661611">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01813">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599899">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0893040">
    <w:abstractNumId w:val="2"/>
  </w:num>
  <w:num w:numId="6" w16cid:durableId="187835841">
    <w:abstractNumId w:val="0"/>
  </w:num>
  <w:num w:numId="7" w16cid:durableId="535511427">
    <w:abstractNumId w:val="3"/>
  </w:num>
  <w:num w:numId="8" w16cid:durableId="20405217">
    <w:abstractNumId w:val="5"/>
  </w:num>
  <w:num w:numId="9" w16cid:durableId="1605117366">
    <w:abstractNumId w:val="8"/>
  </w:num>
  <w:num w:numId="10" w16cid:durableId="1601984456">
    <w:abstractNumId w:val="4"/>
  </w:num>
  <w:num w:numId="11" w16cid:durableId="4073385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5152836">
    <w:abstractNumId w:val="1"/>
  </w:num>
  <w:num w:numId="13" w16cid:durableId="966469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64"/>
    <w:rsid w:val="0000212D"/>
    <w:rsid w:val="00002740"/>
    <w:rsid w:val="00010800"/>
    <w:rsid w:val="000173C8"/>
    <w:rsid w:val="000178DD"/>
    <w:rsid w:val="000216B9"/>
    <w:rsid w:val="0002171B"/>
    <w:rsid w:val="00021BDA"/>
    <w:rsid w:val="00022537"/>
    <w:rsid w:val="0002500C"/>
    <w:rsid w:val="0002522C"/>
    <w:rsid w:val="00030B17"/>
    <w:rsid w:val="00035DDD"/>
    <w:rsid w:val="0004109F"/>
    <w:rsid w:val="00043707"/>
    <w:rsid w:val="0006003C"/>
    <w:rsid w:val="00061559"/>
    <w:rsid w:val="000654D7"/>
    <w:rsid w:val="000724C5"/>
    <w:rsid w:val="00084B3F"/>
    <w:rsid w:val="00097724"/>
    <w:rsid w:val="000A26AE"/>
    <w:rsid w:val="000A75DD"/>
    <w:rsid w:val="000B2178"/>
    <w:rsid w:val="000B51EE"/>
    <w:rsid w:val="000C3E9C"/>
    <w:rsid w:val="000C4BF1"/>
    <w:rsid w:val="000C4FC8"/>
    <w:rsid w:val="000D149B"/>
    <w:rsid w:val="000E1A1E"/>
    <w:rsid w:val="000E1E70"/>
    <w:rsid w:val="000E61CB"/>
    <w:rsid w:val="00115A74"/>
    <w:rsid w:val="00120601"/>
    <w:rsid w:val="0012111E"/>
    <w:rsid w:val="00124438"/>
    <w:rsid w:val="00132724"/>
    <w:rsid w:val="00132EDC"/>
    <w:rsid w:val="0013327F"/>
    <w:rsid w:val="00135B0F"/>
    <w:rsid w:val="001463CE"/>
    <w:rsid w:val="00151C29"/>
    <w:rsid w:val="00154CB7"/>
    <w:rsid w:val="0016492C"/>
    <w:rsid w:val="00165E6C"/>
    <w:rsid w:val="00172C77"/>
    <w:rsid w:val="00194F02"/>
    <w:rsid w:val="00195F97"/>
    <w:rsid w:val="001A1321"/>
    <w:rsid w:val="001B46CF"/>
    <w:rsid w:val="001D28CF"/>
    <w:rsid w:val="001D4B0E"/>
    <w:rsid w:val="001E186A"/>
    <w:rsid w:val="001F0FB0"/>
    <w:rsid w:val="001F6B83"/>
    <w:rsid w:val="001F7E99"/>
    <w:rsid w:val="00200B26"/>
    <w:rsid w:val="0020363A"/>
    <w:rsid w:val="00206D92"/>
    <w:rsid w:val="00212865"/>
    <w:rsid w:val="00213C8A"/>
    <w:rsid w:val="002243A4"/>
    <w:rsid w:val="00235E46"/>
    <w:rsid w:val="00241282"/>
    <w:rsid w:val="0024380C"/>
    <w:rsid w:val="002469B4"/>
    <w:rsid w:val="002553A3"/>
    <w:rsid w:val="002809FB"/>
    <w:rsid w:val="00281D20"/>
    <w:rsid w:val="002843FA"/>
    <w:rsid w:val="0029150B"/>
    <w:rsid w:val="002A0142"/>
    <w:rsid w:val="002A5B50"/>
    <w:rsid w:val="002B0080"/>
    <w:rsid w:val="002B2F18"/>
    <w:rsid w:val="002B4CBF"/>
    <w:rsid w:val="002B5A28"/>
    <w:rsid w:val="002C2D15"/>
    <w:rsid w:val="002C6C40"/>
    <w:rsid w:val="002D46B0"/>
    <w:rsid w:val="002D534E"/>
    <w:rsid w:val="002E2343"/>
    <w:rsid w:val="002E6066"/>
    <w:rsid w:val="002F1F2E"/>
    <w:rsid w:val="002F4E3F"/>
    <w:rsid w:val="002F5FB5"/>
    <w:rsid w:val="002F6749"/>
    <w:rsid w:val="00306FB9"/>
    <w:rsid w:val="00307D83"/>
    <w:rsid w:val="00325143"/>
    <w:rsid w:val="00331CE2"/>
    <w:rsid w:val="00335B69"/>
    <w:rsid w:val="0034635A"/>
    <w:rsid w:val="00346D64"/>
    <w:rsid w:val="00355058"/>
    <w:rsid w:val="003633C0"/>
    <w:rsid w:val="003654EC"/>
    <w:rsid w:val="00375009"/>
    <w:rsid w:val="0037789F"/>
    <w:rsid w:val="00377D34"/>
    <w:rsid w:val="00382364"/>
    <w:rsid w:val="00394302"/>
    <w:rsid w:val="003960AD"/>
    <w:rsid w:val="0039636C"/>
    <w:rsid w:val="003A3044"/>
    <w:rsid w:val="003B2605"/>
    <w:rsid w:val="003B2F1C"/>
    <w:rsid w:val="003B4FAC"/>
    <w:rsid w:val="003D5056"/>
    <w:rsid w:val="003F0F40"/>
    <w:rsid w:val="003F1AB3"/>
    <w:rsid w:val="003F386B"/>
    <w:rsid w:val="003F5942"/>
    <w:rsid w:val="003F6B15"/>
    <w:rsid w:val="00401B03"/>
    <w:rsid w:val="00402DA5"/>
    <w:rsid w:val="0040302C"/>
    <w:rsid w:val="0040744D"/>
    <w:rsid w:val="00412023"/>
    <w:rsid w:val="004132B3"/>
    <w:rsid w:val="004173D3"/>
    <w:rsid w:val="00417CF4"/>
    <w:rsid w:val="00436045"/>
    <w:rsid w:val="00447ED8"/>
    <w:rsid w:val="00460E99"/>
    <w:rsid w:val="004618BF"/>
    <w:rsid w:val="004628BC"/>
    <w:rsid w:val="00464B22"/>
    <w:rsid w:val="00465B79"/>
    <w:rsid w:val="00467831"/>
    <w:rsid w:val="0047120A"/>
    <w:rsid w:val="00475CEF"/>
    <w:rsid w:val="00480F5D"/>
    <w:rsid w:val="004810E1"/>
    <w:rsid w:val="00487652"/>
    <w:rsid w:val="00492C12"/>
    <w:rsid w:val="004A048A"/>
    <w:rsid w:val="004A4382"/>
    <w:rsid w:val="004B2134"/>
    <w:rsid w:val="004C7F9D"/>
    <w:rsid w:val="004D0331"/>
    <w:rsid w:val="004D23B1"/>
    <w:rsid w:val="004D3508"/>
    <w:rsid w:val="004D5775"/>
    <w:rsid w:val="004D5F52"/>
    <w:rsid w:val="004D667F"/>
    <w:rsid w:val="004E40EA"/>
    <w:rsid w:val="004E465D"/>
    <w:rsid w:val="004E6A12"/>
    <w:rsid w:val="004F350D"/>
    <w:rsid w:val="004F4789"/>
    <w:rsid w:val="004F68D5"/>
    <w:rsid w:val="00501481"/>
    <w:rsid w:val="005015BC"/>
    <w:rsid w:val="005019B6"/>
    <w:rsid w:val="00503F5E"/>
    <w:rsid w:val="0051598D"/>
    <w:rsid w:val="00515AC2"/>
    <w:rsid w:val="00516402"/>
    <w:rsid w:val="005250A5"/>
    <w:rsid w:val="00526081"/>
    <w:rsid w:val="00530694"/>
    <w:rsid w:val="00533D0C"/>
    <w:rsid w:val="00545C77"/>
    <w:rsid w:val="00545C98"/>
    <w:rsid w:val="0055179B"/>
    <w:rsid w:val="00561A03"/>
    <w:rsid w:val="00567D4C"/>
    <w:rsid w:val="00573554"/>
    <w:rsid w:val="00574DAF"/>
    <w:rsid w:val="0057797C"/>
    <w:rsid w:val="00581736"/>
    <w:rsid w:val="00591BBD"/>
    <w:rsid w:val="00592172"/>
    <w:rsid w:val="00594BC0"/>
    <w:rsid w:val="00596612"/>
    <w:rsid w:val="005A0865"/>
    <w:rsid w:val="005A0B40"/>
    <w:rsid w:val="005A73A1"/>
    <w:rsid w:val="005B3943"/>
    <w:rsid w:val="005B798B"/>
    <w:rsid w:val="005C718A"/>
    <w:rsid w:val="005F3315"/>
    <w:rsid w:val="005F4605"/>
    <w:rsid w:val="005F54A7"/>
    <w:rsid w:val="005F5B8B"/>
    <w:rsid w:val="00614715"/>
    <w:rsid w:val="00625F35"/>
    <w:rsid w:val="00630BF5"/>
    <w:rsid w:val="006317F2"/>
    <w:rsid w:val="00642578"/>
    <w:rsid w:val="0064404B"/>
    <w:rsid w:val="00650287"/>
    <w:rsid w:val="006547C9"/>
    <w:rsid w:val="006633DB"/>
    <w:rsid w:val="00665710"/>
    <w:rsid w:val="00673244"/>
    <w:rsid w:val="006A7B85"/>
    <w:rsid w:val="006A7C67"/>
    <w:rsid w:val="006B0118"/>
    <w:rsid w:val="006C33F7"/>
    <w:rsid w:val="006D257B"/>
    <w:rsid w:val="006D7D26"/>
    <w:rsid w:val="006E203D"/>
    <w:rsid w:val="006E3E43"/>
    <w:rsid w:val="006E7C37"/>
    <w:rsid w:val="006F1AD6"/>
    <w:rsid w:val="00700316"/>
    <w:rsid w:val="0070115A"/>
    <w:rsid w:val="00702308"/>
    <w:rsid w:val="00704145"/>
    <w:rsid w:val="00704CF3"/>
    <w:rsid w:val="0071293B"/>
    <w:rsid w:val="00721535"/>
    <w:rsid w:val="00722096"/>
    <w:rsid w:val="0072577B"/>
    <w:rsid w:val="007307B0"/>
    <w:rsid w:val="00731FCD"/>
    <w:rsid w:val="007367B0"/>
    <w:rsid w:val="007371EE"/>
    <w:rsid w:val="00740CE2"/>
    <w:rsid w:val="00740FF1"/>
    <w:rsid w:val="00760CAA"/>
    <w:rsid w:val="00762BE4"/>
    <w:rsid w:val="00767733"/>
    <w:rsid w:val="00767B3F"/>
    <w:rsid w:val="00777C7D"/>
    <w:rsid w:val="0078243F"/>
    <w:rsid w:val="007826B5"/>
    <w:rsid w:val="00787FCE"/>
    <w:rsid w:val="0079056D"/>
    <w:rsid w:val="007909B6"/>
    <w:rsid w:val="00791D71"/>
    <w:rsid w:val="007A761C"/>
    <w:rsid w:val="007B06C1"/>
    <w:rsid w:val="007B29B8"/>
    <w:rsid w:val="007D19B0"/>
    <w:rsid w:val="007E67E5"/>
    <w:rsid w:val="007F3129"/>
    <w:rsid w:val="007F415E"/>
    <w:rsid w:val="007F4FEB"/>
    <w:rsid w:val="007F5041"/>
    <w:rsid w:val="00802C11"/>
    <w:rsid w:val="00803426"/>
    <w:rsid w:val="00807ADE"/>
    <w:rsid w:val="00812E22"/>
    <w:rsid w:val="0083026B"/>
    <w:rsid w:val="008317B9"/>
    <w:rsid w:val="008344ED"/>
    <w:rsid w:val="0084535E"/>
    <w:rsid w:val="00852047"/>
    <w:rsid w:val="00852CBC"/>
    <w:rsid w:val="008603EC"/>
    <w:rsid w:val="008637A6"/>
    <w:rsid w:val="00874ABA"/>
    <w:rsid w:val="00875B6A"/>
    <w:rsid w:val="00876037"/>
    <w:rsid w:val="008777B8"/>
    <w:rsid w:val="00880D04"/>
    <w:rsid w:val="00881395"/>
    <w:rsid w:val="0088349A"/>
    <w:rsid w:val="00890BB7"/>
    <w:rsid w:val="008A539A"/>
    <w:rsid w:val="008B1D57"/>
    <w:rsid w:val="008B2643"/>
    <w:rsid w:val="008C0550"/>
    <w:rsid w:val="008C1CC2"/>
    <w:rsid w:val="008C5E3C"/>
    <w:rsid w:val="008E2778"/>
    <w:rsid w:val="008F0E96"/>
    <w:rsid w:val="008F1ECB"/>
    <w:rsid w:val="0090131A"/>
    <w:rsid w:val="00903DEC"/>
    <w:rsid w:val="00905FD2"/>
    <w:rsid w:val="00914BF6"/>
    <w:rsid w:val="00916B6F"/>
    <w:rsid w:val="0093105B"/>
    <w:rsid w:val="009379B1"/>
    <w:rsid w:val="0094095D"/>
    <w:rsid w:val="0094285A"/>
    <w:rsid w:val="00952C33"/>
    <w:rsid w:val="0095566D"/>
    <w:rsid w:val="009560B7"/>
    <w:rsid w:val="00956861"/>
    <w:rsid w:val="0096085E"/>
    <w:rsid w:val="0096673E"/>
    <w:rsid w:val="00970274"/>
    <w:rsid w:val="009747D3"/>
    <w:rsid w:val="00976F3D"/>
    <w:rsid w:val="009855A9"/>
    <w:rsid w:val="0099184A"/>
    <w:rsid w:val="009A4A6E"/>
    <w:rsid w:val="009B1026"/>
    <w:rsid w:val="009B2397"/>
    <w:rsid w:val="009D15B3"/>
    <w:rsid w:val="009D1853"/>
    <w:rsid w:val="009D6F0D"/>
    <w:rsid w:val="009F315C"/>
    <w:rsid w:val="00A0046B"/>
    <w:rsid w:val="00A00951"/>
    <w:rsid w:val="00A02619"/>
    <w:rsid w:val="00A036BC"/>
    <w:rsid w:val="00A0403B"/>
    <w:rsid w:val="00A052B3"/>
    <w:rsid w:val="00A1678F"/>
    <w:rsid w:val="00A23275"/>
    <w:rsid w:val="00A2342B"/>
    <w:rsid w:val="00A246A0"/>
    <w:rsid w:val="00A3375D"/>
    <w:rsid w:val="00A42327"/>
    <w:rsid w:val="00A46E9B"/>
    <w:rsid w:val="00A509E0"/>
    <w:rsid w:val="00A51643"/>
    <w:rsid w:val="00A55D14"/>
    <w:rsid w:val="00A56938"/>
    <w:rsid w:val="00A618E7"/>
    <w:rsid w:val="00A62851"/>
    <w:rsid w:val="00A6667F"/>
    <w:rsid w:val="00A70127"/>
    <w:rsid w:val="00A713B5"/>
    <w:rsid w:val="00A809EE"/>
    <w:rsid w:val="00A81996"/>
    <w:rsid w:val="00A83ECC"/>
    <w:rsid w:val="00A8412A"/>
    <w:rsid w:val="00A86850"/>
    <w:rsid w:val="00A9284A"/>
    <w:rsid w:val="00A951F6"/>
    <w:rsid w:val="00AA18FB"/>
    <w:rsid w:val="00AA3A2D"/>
    <w:rsid w:val="00AA554C"/>
    <w:rsid w:val="00AB091D"/>
    <w:rsid w:val="00AB3CA3"/>
    <w:rsid w:val="00AB7298"/>
    <w:rsid w:val="00AC3A63"/>
    <w:rsid w:val="00AC4F3C"/>
    <w:rsid w:val="00AD7B5A"/>
    <w:rsid w:val="00AE1B42"/>
    <w:rsid w:val="00AE4C8E"/>
    <w:rsid w:val="00AF235A"/>
    <w:rsid w:val="00AF3903"/>
    <w:rsid w:val="00B0233B"/>
    <w:rsid w:val="00B0244F"/>
    <w:rsid w:val="00B13C35"/>
    <w:rsid w:val="00B24BD5"/>
    <w:rsid w:val="00B25BF4"/>
    <w:rsid w:val="00B270D2"/>
    <w:rsid w:val="00B40252"/>
    <w:rsid w:val="00B63783"/>
    <w:rsid w:val="00B66DBF"/>
    <w:rsid w:val="00B826EA"/>
    <w:rsid w:val="00B8476F"/>
    <w:rsid w:val="00B84E8C"/>
    <w:rsid w:val="00B936D8"/>
    <w:rsid w:val="00BA3953"/>
    <w:rsid w:val="00BA3C45"/>
    <w:rsid w:val="00BB2301"/>
    <w:rsid w:val="00BB7635"/>
    <w:rsid w:val="00BC033B"/>
    <w:rsid w:val="00BD5407"/>
    <w:rsid w:val="00C00C60"/>
    <w:rsid w:val="00C23D4E"/>
    <w:rsid w:val="00C301F8"/>
    <w:rsid w:val="00C30A29"/>
    <w:rsid w:val="00C32BD8"/>
    <w:rsid w:val="00C34183"/>
    <w:rsid w:val="00C3711E"/>
    <w:rsid w:val="00C3794A"/>
    <w:rsid w:val="00C4220E"/>
    <w:rsid w:val="00C51C8C"/>
    <w:rsid w:val="00C53A63"/>
    <w:rsid w:val="00C60990"/>
    <w:rsid w:val="00C637E8"/>
    <w:rsid w:val="00C6408F"/>
    <w:rsid w:val="00C67EB2"/>
    <w:rsid w:val="00C76F64"/>
    <w:rsid w:val="00C80F47"/>
    <w:rsid w:val="00C93972"/>
    <w:rsid w:val="00C93FB8"/>
    <w:rsid w:val="00CA324B"/>
    <w:rsid w:val="00CB043E"/>
    <w:rsid w:val="00CB2C6B"/>
    <w:rsid w:val="00CC0396"/>
    <w:rsid w:val="00CC3D1A"/>
    <w:rsid w:val="00CC7E1C"/>
    <w:rsid w:val="00CE3606"/>
    <w:rsid w:val="00CF3A81"/>
    <w:rsid w:val="00CF566E"/>
    <w:rsid w:val="00CF5F2D"/>
    <w:rsid w:val="00CF677D"/>
    <w:rsid w:val="00D153CE"/>
    <w:rsid w:val="00D277E3"/>
    <w:rsid w:val="00D27927"/>
    <w:rsid w:val="00D304F6"/>
    <w:rsid w:val="00D32381"/>
    <w:rsid w:val="00D33559"/>
    <w:rsid w:val="00D35D75"/>
    <w:rsid w:val="00D37C55"/>
    <w:rsid w:val="00D424AB"/>
    <w:rsid w:val="00D42F3A"/>
    <w:rsid w:val="00D4477D"/>
    <w:rsid w:val="00D4538D"/>
    <w:rsid w:val="00D46D1A"/>
    <w:rsid w:val="00D5134C"/>
    <w:rsid w:val="00D657A4"/>
    <w:rsid w:val="00D94975"/>
    <w:rsid w:val="00D972C1"/>
    <w:rsid w:val="00DA2C8C"/>
    <w:rsid w:val="00DA6828"/>
    <w:rsid w:val="00DA7CE4"/>
    <w:rsid w:val="00DB2053"/>
    <w:rsid w:val="00DC0793"/>
    <w:rsid w:val="00DD5115"/>
    <w:rsid w:val="00DD6EC4"/>
    <w:rsid w:val="00DF23EB"/>
    <w:rsid w:val="00E025C5"/>
    <w:rsid w:val="00E03860"/>
    <w:rsid w:val="00E06FE0"/>
    <w:rsid w:val="00E10602"/>
    <w:rsid w:val="00E22A8C"/>
    <w:rsid w:val="00E30DA7"/>
    <w:rsid w:val="00E32FD3"/>
    <w:rsid w:val="00E3428F"/>
    <w:rsid w:val="00E43F80"/>
    <w:rsid w:val="00E55B47"/>
    <w:rsid w:val="00E569E5"/>
    <w:rsid w:val="00E64F98"/>
    <w:rsid w:val="00E66295"/>
    <w:rsid w:val="00E9014B"/>
    <w:rsid w:val="00E91BC4"/>
    <w:rsid w:val="00E9749B"/>
    <w:rsid w:val="00EA174F"/>
    <w:rsid w:val="00EA6115"/>
    <w:rsid w:val="00EC1680"/>
    <w:rsid w:val="00EC2D97"/>
    <w:rsid w:val="00ED3514"/>
    <w:rsid w:val="00ED420F"/>
    <w:rsid w:val="00ED7C10"/>
    <w:rsid w:val="00EE119E"/>
    <w:rsid w:val="00EE6AB8"/>
    <w:rsid w:val="00F011E8"/>
    <w:rsid w:val="00F12885"/>
    <w:rsid w:val="00F17D6C"/>
    <w:rsid w:val="00F26AAF"/>
    <w:rsid w:val="00F30F42"/>
    <w:rsid w:val="00F34391"/>
    <w:rsid w:val="00F4432C"/>
    <w:rsid w:val="00F51D29"/>
    <w:rsid w:val="00F529E8"/>
    <w:rsid w:val="00F60F6E"/>
    <w:rsid w:val="00F67C11"/>
    <w:rsid w:val="00F72C4B"/>
    <w:rsid w:val="00F84D8C"/>
    <w:rsid w:val="00F853D3"/>
    <w:rsid w:val="00FA0205"/>
    <w:rsid w:val="00FA3566"/>
    <w:rsid w:val="00FA62E9"/>
    <w:rsid w:val="00FA7EBF"/>
    <w:rsid w:val="00FB19B4"/>
    <w:rsid w:val="00FB2C62"/>
    <w:rsid w:val="00FB7A6E"/>
    <w:rsid w:val="00FC0195"/>
    <w:rsid w:val="00FC382A"/>
    <w:rsid w:val="00FD4D7A"/>
    <w:rsid w:val="00FE0AAD"/>
    <w:rsid w:val="00FE5A2F"/>
    <w:rsid w:val="00FF1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8BB4"/>
  <w15:chartTrackingRefBased/>
  <w15:docId w15:val="{DE8A2C66-59A6-4F6B-AE6C-C438A846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4BD5"/>
    <w:rPr>
      <w:rFonts w:ascii="Times New Roman" w:hAnsi="Times New Roman" w:cs="Times New Roman"/>
      <w:sz w:val="24"/>
      <w:szCs w:val="24"/>
    </w:rPr>
  </w:style>
  <w:style w:type="character" w:styleId="Hyperlink">
    <w:name w:val="Hyperlink"/>
    <w:basedOn w:val="DefaultParagraphFont"/>
    <w:uiPriority w:val="99"/>
    <w:unhideWhenUsed/>
    <w:rsid w:val="00D972C1"/>
    <w:rPr>
      <w:color w:val="0563C1" w:themeColor="hyperlink"/>
      <w:u w:val="single"/>
    </w:rPr>
  </w:style>
  <w:style w:type="character" w:styleId="UnresolvedMention">
    <w:name w:val="Unresolved Mention"/>
    <w:basedOn w:val="DefaultParagraphFont"/>
    <w:uiPriority w:val="99"/>
    <w:semiHidden/>
    <w:unhideWhenUsed/>
    <w:rsid w:val="00D972C1"/>
    <w:rPr>
      <w:color w:val="605E5C"/>
      <w:shd w:val="clear" w:color="auto" w:fill="E1DFDD"/>
    </w:rPr>
  </w:style>
  <w:style w:type="paragraph" w:styleId="FootnoteText">
    <w:name w:val="footnote text"/>
    <w:basedOn w:val="Normal"/>
    <w:link w:val="FootnoteTextChar"/>
    <w:uiPriority w:val="99"/>
    <w:semiHidden/>
    <w:unhideWhenUsed/>
    <w:rsid w:val="007367B0"/>
    <w:pPr>
      <w:spacing w:after="0" w:line="240" w:lineRule="auto"/>
      <w:jc w:val="both"/>
    </w:pPr>
    <w:rPr>
      <w:rFonts w:ascii="Times New Roman" w:eastAsia="Calibri" w:hAnsi="Times New Roman" w:cs="Times New Roman"/>
      <w:b/>
      <w:sz w:val="20"/>
      <w:szCs w:val="20"/>
    </w:rPr>
  </w:style>
  <w:style w:type="character" w:customStyle="1" w:styleId="FootnoteTextChar">
    <w:name w:val="Footnote Text Char"/>
    <w:basedOn w:val="DefaultParagraphFont"/>
    <w:link w:val="FootnoteText"/>
    <w:uiPriority w:val="99"/>
    <w:semiHidden/>
    <w:rsid w:val="007367B0"/>
    <w:rPr>
      <w:rFonts w:ascii="Times New Roman" w:eastAsia="Calibri" w:hAnsi="Times New Roman" w:cs="Times New Roman"/>
      <w:b/>
      <w:sz w:val="20"/>
      <w:szCs w:val="20"/>
    </w:rPr>
  </w:style>
  <w:style w:type="character" w:styleId="FootnoteReference">
    <w:name w:val="footnote reference"/>
    <w:uiPriority w:val="99"/>
    <w:semiHidden/>
    <w:unhideWhenUsed/>
    <w:rsid w:val="007367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7192">
      <w:bodyDiv w:val="1"/>
      <w:marLeft w:val="0"/>
      <w:marRight w:val="0"/>
      <w:marTop w:val="0"/>
      <w:marBottom w:val="0"/>
      <w:divBdr>
        <w:top w:val="none" w:sz="0" w:space="0" w:color="auto"/>
        <w:left w:val="none" w:sz="0" w:space="0" w:color="auto"/>
        <w:bottom w:val="none" w:sz="0" w:space="0" w:color="auto"/>
        <w:right w:val="none" w:sz="0" w:space="0" w:color="auto"/>
      </w:divBdr>
    </w:div>
    <w:div w:id="49766508">
      <w:bodyDiv w:val="1"/>
      <w:marLeft w:val="0"/>
      <w:marRight w:val="0"/>
      <w:marTop w:val="0"/>
      <w:marBottom w:val="0"/>
      <w:divBdr>
        <w:top w:val="none" w:sz="0" w:space="0" w:color="auto"/>
        <w:left w:val="none" w:sz="0" w:space="0" w:color="auto"/>
        <w:bottom w:val="none" w:sz="0" w:space="0" w:color="auto"/>
        <w:right w:val="none" w:sz="0" w:space="0" w:color="auto"/>
      </w:divBdr>
    </w:div>
    <w:div w:id="300579549">
      <w:bodyDiv w:val="1"/>
      <w:marLeft w:val="0"/>
      <w:marRight w:val="0"/>
      <w:marTop w:val="0"/>
      <w:marBottom w:val="0"/>
      <w:divBdr>
        <w:top w:val="none" w:sz="0" w:space="0" w:color="auto"/>
        <w:left w:val="none" w:sz="0" w:space="0" w:color="auto"/>
        <w:bottom w:val="none" w:sz="0" w:space="0" w:color="auto"/>
        <w:right w:val="none" w:sz="0" w:space="0" w:color="auto"/>
      </w:divBdr>
    </w:div>
    <w:div w:id="374159120">
      <w:bodyDiv w:val="1"/>
      <w:marLeft w:val="0"/>
      <w:marRight w:val="0"/>
      <w:marTop w:val="0"/>
      <w:marBottom w:val="0"/>
      <w:divBdr>
        <w:top w:val="none" w:sz="0" w:space="0" w:color="auto"/>
        <w:left w:val="none" w:sz="0" w:space="0" w:color="auto"/>
        <w:bottom w:val="none" w:sz="0" w:space="0" w:color="auto"/>
        <w:right w:val="none" w:sz="0" w:space="0" w:color="auto"/>
      </w:divBdr>
    </w:div>
    <w:div w:id="693504650">
      <w:bodyDiv w:val="1"/>
      <w:marLeft w:val="0"/>
      <w:marRight w:val="0"/>
      <w:marTop w:val="0"/>
      <w:marBottom w:val="0"/>
      <w:divBdr>
        <w:top w:val="none" w:sz="0" w:space="0" w:color="auto"/>
        <w:left w:val="none" w:sz="0" w:space="0" w:color="auto"/>
        <w:bottom w:val="none" w:sz="0" w:space="0" w:color="auto"/>
        <w:right w:val="none" w:sz="0" w:space="0" w:color="auto"/>
      </w:divBdr>
    </w:div>
    <w:div w:id="1126043074">
      <w:bodyDiv w:val="1"/>
      <w:marLeft w:val="0"/>
      <w:marRight w:val="0"/>
      <w:marTop w:val="0"/>
      <w:marBottom w:val="0"/>
      <w:divBdr>
        <w:top w:val="none" w:sz="0" w:space="0" w:color="auto"/>
        <w:left w:val="none" w:sz="0" w:space="0" w:color="auto"/>
        <w:bottom w:val="none" w:sz="0" w:space="0" w:color="auto"/>
        <w:right w:val="none" w:sz="0" w:space="0" w:color="auto"/>
      </w:divBdr>
    </w:div>
    <w:div w:id="199579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cmcoons@millersville.edu"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8190D-41F0-4027-AFFD-91ED5F39C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11728</Words>
  <Characters>66853</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 Gradisher</dc:creator>
  <cp:keywords/>
  <dc:description/>
  <cp:lastModifiedBy>Ortiz, Maria (ortizmi)</cp:lastModifiedBy>
  <cp:revision>5</cp:revision>
  <cp:lastPrinted>2025-10-06T14:21:00Z</cp:lastPrinted>
  <dcterms:created xsi:type="dcterms:W3CDTF">2025-10-30T18:27:00Z</dcterms:created>
  <dcterms:modified xsi:type="dcterms:W3CDTF">2026-02-03T15:35:00Z</dcterms:modified>
</cp:coreProperties>
</file>